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226E" w14:textId="77777777" w:rsidR="00A000DA" w:rsidRPr="00491BF3" w:rsidRDefault="00A000DA" w:rsidP="008A7572">
      <w:pPr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  <w:r w:rsidRPr="00491BF3">
        <w:rPr>
          <w:rFonts w:ascii="Times New Roman" w:eastAsia="Times New Roman" w:hAnsi="Times New Roman" w:cs="Times New Roman"/>
          <w:b/>
          <w:bCs/>
          <w:sz w:val="24"/>
        </w:rPr>
        <w:t>Boletín N° 14.639-21</w:t>
      </w:r>
    </w:p>
    <w:p w14:paraId="23C0187A" w14:textId="77777777" w:rsidR="00A000DA" w:rsidRPr="00A000DA" w:rsidRDefault="00A000DA" w:rsidP="00491BF3">
      <w:pPr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b/>
          <w:bCs/>
          <w:sz w:val="24"/>
        </w:rPr>
      </w:pPr>
    </w:p>
    <w:p w14:paraId="3EE5943E" w14:textId="3EFD797D" w:rsidR="00491BF3" w:rsidRDefault="00A000DA" w:rsidP="008A7572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>P</w:t>
      </w:r>
      <w:r w:rsidR="00491BF3" w:rsidRPr="00491BF3">
        <w:rPr>
          <w:rFonts w:ascii="Times New Roman" w:eastAsia="Times New Roman" w:hAnsi="Times New Roman" w:cs="Times New Roman"/>
          <w:b/>
          <w:bCs/>
          <w:sz w:val="24"/>
        </w:rPr>
        <w:t>royecto de ley</w:t>
      </w:r>
      <w:r>
        <w:rPr>
          <w:rFonts w:ascii="Times New Roman" w:eastAsia="Times New Roman" w:hAnsi="Times New Roman" w:cs="Times New Roman"/>
          <w:b/>
          <w:bCs/>
          <w:sz w:val="24"/>
        </w:rPr>
        <w:t>, iniciado en moción de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</w:rPr>
        <w:t>l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>os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491BF3">
        <w:rPr>
          <w:rFonts w:ascii="Times New Roman" w:eastAsia="Times New Roman" w:hAnsi="Times New Roman" w:cs="Times New Roman"/>
          <w:b/>
          <w:bCs/>
          <w:sz w:val="24"/>
        </w:rPr>
        <w:t>Honorable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>s</w:t>
      </w:r>
      <w:r w:rsidRPr="00491BF3">
        <w:rPr>
          <w:rFonts w:ascii="Times New Roman" w:eastAsia="Times New Roman" w:hAnsi="Times New Roman" w:cs="Times New Roman"/>
          <w:b/>
          <w:bCs/>
          <w:sz w:val="24"/>
        </w:rPr>
        <w:t xml:space="preserve"> Senador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>es</w:t>
      </w:r>
      <w:r w:rsidRPr="00491BF3">
        <w:rPr>
          <w:rFonts w:ascii="Times New Roman" w:eastAsia="Times New Roman" w:hAnsi="Times New Roman" w:cs="Times New Roman"/>
          <w:b/>
          <w:bCs/>
          <w:sz w:val="24"/>
        </w:rPr>
        <w:t xml:space="preserve"> señor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>es</w:t>
      </w:r>
      <w:r w:rsidRPr="00491BF3">
        <w:rPr>
          <w:rFonts w:ascii="Times New Roman" w:eastAsia="Times New Roman" w:hAnsi="Times New Roman" w:cs="Times New Roman"/>
          <w:b/>
          <w:bCs/>
          <w:sz w:val="24"/>
        </w:rPr>
        <w:t xml:space="preserve"> Quinteros,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0C5A68" w:rsidRPr="000C5A68">
        <w:rPr>
          <w:rFonts w:ascii="Times New Roman" w:eastAsia="Times New Roman" w:hAnsi="Times New Roman" w:cs="Times New Roman"/>
          <w:b/>
          <w:bCs/>
          <w:sz w:val="24"/>
        </w:rPr>
        <w:t>Elizalde,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 xml:space="preserve"> Pugh y</w:t>
      </w:r>
      <w:r w:rsidR="000C5A68" w:rsidRPr="000C5A68">
        <w:rPr>
          <w:rFonts w:ascii="Times New Roman" w:eastAsia="Times New Roman" w:hAnsi="Times New Roman" w:cs="Times New Roman"/>
          <w:b/>
          <w:bCs/>
          <w:sz w:val="24"/>
        </w:rPr>
        <w:t xml:space="preserve"> Sandoval</w:t>
      </w:r>
      <w:r w:rsidR="000C5A68">
        <w:rPr>
          <w:rFonts w:ascii="Times New Roman" w:eastAsia="Times New Roman" w:hAnsi="Times New Roman" w:cs="Times New Roman"/>
          <w:b/>
          <w:bCs/>
          <w:sz w:val="24"/>
        </w:rPr>
        <w:t>,</w:t>
      </w:r>
      <w:r w:rsidR="000C5A68" w:rsidRPr="000C5A68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491BF3" w:rsidRPr="00491BF3">
        <w:rPr>
          <w:rFonts w:ascii="Times New Roman" w:eastAsia="Times New Roman" w:hAnsi="Times New Roman" w:cs="Times New Roman"/>
          <w:b/>
          <w:bCs/>
          <w:sz w:val="24"/>
        </w:rPr>
        <w:t xml:space="preserve">que interpreta el artículo 11 de la ley N° 21.069, que crea el Instituto Nacional de Desarrollo Sustentable de la Pesca Artesanal y de la Acuicultura de Pequeña Escala, </w:t>
      </w:r>
      <w:proofErr w:type="spellStart"/>
      <w:r w:rsidR="00491BF3" w:rsidRPr="00491BF3">
        <w:rPr>
          <w:rFonts w:ascii="Times New Roman" w:eastAsia="Times New Roman" w:hAnsi="Times New Roman" w:cs="Times New Roman"/>
          <w:b/>
          <w:bCs/>
          <w:sz w:val="24"/>
        </w:rPr>
        <w:t>Indespa</w:t>
      </w:r>
      <w:proofErr w:type="spellEnd"/>
      <w:r w:rsidRPr="00A000DA">
        <w:rPr>
          <w:rFonts w:ascii="Times New Roman" w:eastAsia="Times New Roman" w:hAnsi="Times New Roman" w:cs="Times New Roman"/>
          <w:b/>
          <w:bCs/>
          <w:sz w:val="24"/>
        </w:rPr>
        <w:t>.</w:t>
      </w:r>
    </w:p>
    <w:p w14:paraId="1AEF78D5" w14:textId="6FFB3C8C" w:rsidR="00A000DA" w:rsidRDefault="00A000DA" w:rsidP="00A000D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</w:rPr>
      </w:pPr>
    </w:p>
    <w:p w14:paraId="144EB768" w14:textId="77777777" w:rsidR="00A000DA" w:rsidRPr="00A000DA" w:rsidRDefault="00A000DA" w:rsidP="00A000DA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</w:rPr>
      </w:pPr>
    </w:p>
    <w:p w14:paraId="3A7CC5F9" w14:textId="1701E61D" w:rsidR="009B6235" w:rsidRPr="00A000DA" w:rsidRDefault="008A7572">
      <w:pPr>
        <w:spacing w:after="240"/>
        <w:ind w:left="22" w:right="199"/>
        <w:rPr>
          <w:rFonts w:ascii="Times New Roman" w:hAnsi="Times New Roman" w:cs="Times New Roman"/>
          <w:b/>
          <w:bCs/>
          <w:sz w:val="24"/>
        </w:rPr>
      </w:pPr>
      <w:r w:rsidRPr="00A000DA">
        <w:rPr>
          <w:rFonts w:ascii="Times New Roman" w:hAnsi="Times New Roman" w:cs="Times New Roman"/>
          <w:b/>
          <w:bCs/>
          <w:sz w:val="24"/>
        </w:rPr>
        <w:t>ANTECEDENTES.</w:t>
      </w:r>
    </w:p>
    <w:p w14:paraId="5FC3B620" w14:textId="2C46E17A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 xml:space="preserve">La Ley 21069 creó el Instituto Nacional de Desarrollo Sustentable de la Pesca Artesanal y Acuicultura de Pequeña Escala, </w:t>
      </w:r>
      <w:proofErr w:type="spellStart"/>
      <w:r w:rsidRPr="00A000DA">
        <w:rPr>
          <w:rFonts w:ascii="Times New Roman" w:hAnsi="Times New Roman" w:cs="Times New Roman"/>
          <w:sz w:val="24"/>
        </w:rPr>
        <w:t>Indespa</w:t>
      </w:r>
      <w:proofErr w:type="spellEnd"/>
      <w:r w:rsidRPr="00A000DA">
        <w:rPr>
          <w:rFonts w:ascii="Times New Roman" w:hAnsi="Times New Roman" w:cs="Times New Roman"/>
          <w:sz w:val="24"/>
        </w:rPr>
        <w:t>, y definió que su objetivo principal será fomentar y promover el desarrollo de la pesca artesanal, de la acuicultura de pequeña escala y sus beneficiarios.</w:t>
      </w:r>
    </w:p>
    <w:p w14:paraId="3644DE09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722ECD34" w14:textId="0B06DB83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Dentro de sus atribuciones, la ley contempla contribuir a mejorar la capacidad productiva y comercial de estos sectores, fomentar su diversidad productiva, desarrollar obras de infraestructura y contribuir al desarrollo de las caletas, facilitar su acceso al crédito para financiar proyectos productivos, proporcionar asistencia técnica y capacitación y financiar aportes no reembolsables para estos mismos proyectos o en caso de emergencias, todo esto en el marco de sustentabilidad de los recursos hidrobiológicos y promoviendo la inclusión y la equidad de género.</w:t>
      </w:r>
    </w:p>
    <w:p w14:paraId="211FD4B5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08832D18" w14:textId="5D2FEC5C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Estas atribuciones las debe ejecutar directamente, en coordinación con otros órganos del Estado, o celebrando los convenios de colaboración con personas naturales o jurídicas, públicas o privadas, que sea necesarios para el cumplimiento de sus fines.</w:t>
      </w:r>
    </w:p>
    <w:p w14:paraId="128B5FA3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2B65A618" w14:textId="07E0BE5E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El artículo 11</w:t>
      </w:r>
      <w:r w:rsidR="00A000DA" w:rsidRPr="00A000DA">
        <w:rPr>
          <w:rFonts w:ascii="Times New Roman" w:hAnsi="Times New Roman" w:cs="Times New Roman"/>
          <w:sz w:val="24"/>
        </w:rPr>
        <w:t>º</w:t>
      </w:r>
      <w:r w:rsidR="00A000DA">
        <w:rPr>
          <w:rFonts w:ascii="Times New Roman" w:hAnsi="Times New Roman" w:cs="Times New Roman"/>
          <w:sz w:val="24"/>
        </w:rPr>
        <w:t xml:space="preserve"> </w:t>
      </w:r>
      <w:r w:rsidRPr="00A000DA">
        <w:rPr>
          <w:rFonts w:ascii="Times New Roman" w:hAnsi="Times New Roman" w:cs="Times New Roman"/>
          <w:sz w:val="24"/>
        </w:rPr>
        <w:t xml:space="preserve">de la ley señala que solo podrán ser beneficiarios de las acciones o prestaciones del </w:t>
      </w:r>
      <w:proofErr w:type="spellStart"/>
      <w:r w:rsidRPr="00A000DA">
        <w:rPr>
          <w:rFonts w:ascii="Times New Roman" w:hAnsi="Times New Roman" w:cs="Times New Roman"/>
          <w:sz w:val="24"/>
        </w:rPr>
        <w:t>Indespa</w:t>
      </w:r>
      <w:proofErr w:type="spellEnd"/>
      <w:r w:rsidRPr="00A000DA">
        <w:rPr>
          <w:rFonts w:ascii="Times New Roman" w:hAnsi="Times New Roman" w:cs="Times New Roman"/>
          <w:sz w:val="24"/>
        </w:rPr>
        <w:t xml:space="preserve">, los pescadores artesanales con inscripción vigente en el Registro Pesquero Artesanal, los acuicultores de pequeña escala con inscripción vigente en el registro que llevará </w:t>
      </w:r>
      <w:proofErr w:type="spellStart"/>
      <w:r w:rsidRPr="00A000DA">
        <w:rPr>
          <w:rFonts w:ascii="Times New Roman" w:hAnsi="Times New Roman" w:cs="Times New Roman"/>
          <w:sz w:val="24"/>
        </w:rPr>
        <w:t>Sernapesca</w:t>
      </w:r>
      <w:proofErr w:type="spellEnd"/>
      <w:r w:rsidRPr="00A000DA">
        <w:rPr>
          <w:rFonts w:ascii="Times New Roman" w:hAnsi="Times New Roman" w:cs="Times New Roman"/>
          <w:sz w:val="24"/>
        </w:rPr>
        <w:t>, y las organizaciones o personas jurídicas conformadas exclusivamente por pescadores artesanales o acuicultores de pequeña escala, legalmente constituidas.</w:t>
      </w:r>
    </w:p>
    <w:p w14:paraId="53F3E0EF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75A1BF48" w14:textId="329EA64D" w:rsidR="009B6235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 xml:space="preserve">Todos los beneficiarios deben cumplir con los requisitos, criterios y procedimientos que fije el reglamento establecido en el artículo </w:t>
      </w:r>
      <w:proofErr w:type="gramStart"/>
      <w:r w:rsidRPr="00A000DA">
        <w:rPr>
          <w:rFonts w:ascii="Times New Roman" w:hAnsi="Times New Roman" w:cs="Times New Roman"/>
          <w:sz w:val="24"/>
        </w:rPr>
        <w:t>5</w:t>
      </w:r>
      <w:r w:rsidR="00A000DA" w:rsidRPr="00A000DA">
        <w:rPr>
          <w:rFonts w:ascii="Times New Roman" w:hAnsi="Times New Roman" w:cs="Times New Roman"/>
          <w:sz w:val="24"/>
        </w:rPr>
        <w:t>º</w:t>
      </w:r>
      <w:r w:rsidRPr="00A000D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A000DA">
        <w:rPr>
          <w:rFonts w:ascii="Times New Roman" w:hAnsi="Times New Roman" w:cs="Times New Roman"/>
          <w:sz w:val="24"/>
        </w:rPr>
        <w:t>.</w:t>
      </w:r>
      <w:proofErr w:type="gramEnd"/>
    </w:p>
    <w:p w14:paraId="593421D2" w14:textId="3EB9BBE4" w:rsidR="009B6235" w:rsidRPr="00A000DA" w:rsidRDefault="009B6235" w:rsidP="008A7572">
      <w:pPr>
        <w:pStyle w:val="Ttulo1"/>
        <w:spacing w:line="312" w:lineRule="auto"/>
        <w:rPr>
          <w:sz w:val="24"/>
        </w:rPr>
      </w:pPr>
    </w:p>
    <w:p w14:paraId="6E050F0B" w14:textId="77777777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696D1E6A" w14:textId="77777777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70A99D7A" w14:textId="4E0900EC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4A753E3E" w14:textId="0EE1A891" w:rsidR="008A7572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020C8691" w14:textId="35930B85" w:rsidR="008A7572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652DB28D" w14:textId="77777777" w:rsidR="008A7572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66D3E66F" w14:textId="77777777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40024816" w14:textId="360B33ED" w:rsidR="009B6235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lastRenderedPageBreak/>
        <w:t xml:space="preserve">Si bien, dicho reglamento aún no ha sido dictado, las organizaciones de pescadores artesanales han manifestado su preocupación debido a que, en los diversos programas que impulsa </w:t>
      </w:r>
      <w:proofErr w:type="spellStart"/>
      <w:r w:rsidRPr="00A000DA">
        <w:rPr>
          <w:rFonts w:ascii="Times New Roman" w:hAnsi="Times New Roman" w:cs="Times New Roman"/>
          <w:sz w:val="24"/>
        </w:rPr>
        <w:t>Indespa</w:t>
      </w:r>
      <w:proofErr w:type="spellEnd"/>
      <w:r w:rsidRPr="00A000DA">
        <w:rPr>
          <w:rFonts w:ascii="Times New Roman" w:hAnsi="Times New Roman" w:cs="Times New Roman"/>
          <w:sz w:val="24"/>
        </w:rPr>
        <w:t>, se les ha indicado que solo podrían postular entidades de primer nivel, es decir, excluyendo federaciones o confederaciones de pescadores artesanales.</w:t>
      </w:r>
    </w:p>
    <w:p w14:paraId="329442D1" w14:textId="2527B5C6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 xml:space="preserve">Cabe señalar que, históricamente, las organizaciones de pescadores artesanales han adoptado distintas formas jurídicas y no tienen un estatuto único. De esta manera, sindicatos, asociaciones gremiales, cooperativas, asociaciones o comunidades indígenas, organizaciones funcionales y hasta sociedades, pueden inscribirse en el Registro de Organizaciones Artesanales que mantiene </w:t>
      </w:r>
      <w:proofErr w:type="spellStart"/>
      <w:r w:rsidRPr="00A000DA">
        <w:rPr>
          <w:rFonts w:ascii="Times New Roman" w:hAnsi="Times New Roman" w:cs="Times New Roman"/>
          <w:sz w:val="24"/>
        </w:rPr>
        <w:t>Sernapesca</w:t>
      </w:r>
      <w:proofErr w:type="spellEnd"/>
      <w:r w:rsidRPr="00A000DA">
        <w:rPr>
          <w:rFonts w:ascii="Times New Roman" w:hAnsi="Times New Roman" w:cs="Times New Roman"/>
          <w:sz w:val="24"/>
        </w:rPr>
        <w:t>.</w:t>
      </w:r>
    </w:p>
    <w:p w14:paraId="7F752BA4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7CD4290F" w14:textId="4D18340E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Las Federaciones y Confederaciones existentes agrupan a esta diversidad de organizaciones y son actores principales, no solo en la representación de los intereses de su sector, sino que también, tradicionalmente, se constituyen en beneficiarias y gestoras de proyectos financiados a través de los diversos fondos disponibles, en particular el FOPA.</w:t>
      </w:r>
    </w:p>
    <w:p w14:paraId="3491D221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72381C2F" w14:textId="59371C0C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 xml:space="preserve">La exclusión de organizaciones de segundo y tercer nivel, no solo afecta la autonomía de los pescadores artesanales para organizarse y actuar ante las diversas instituciones del Estado, sino que también se aparta de la historia fidedigna de la ley 21.069, que creó </w:t>
      </w:r>
      <w:proofErr w:type="spellStart"/>
      <w:r w:rsidRPr="00A000DA">
        <w:rPr>
          <w:rFonts w:ascii="Times New Roman" w:hAnsi="Times New Roman" w:cs="Times New Roman"/>
          <w:sz w:val="24"/>
        </w:rPr>
        <w:t>Indespa</w:t>
      </w:r>
      <w:proofErr w:type="spellEnd"/>
      <w:r w:rsidRPr="00A000DA">
        <w:rPr>
          <w:rFonts w:ascii="Times New Roman" w:hAnsi="Times New Roman" w:cs="Times New Roman"/>
          <w:sz w:val="24"/>
        </w:rPr>
        <w:t xml:space="preserve">, que nunca consideró esta restricción. En efecto, con la creación de esta nueva entidad pública, se traspasó la operación, en las mismas condiciones, de diversos fondos y programas que beneficiaban a la pesca artesanal, que hasta entonces administraba </w:t>
      </w:r>
      <w:proofErr w:type="spellStart"/>
      <w:r w:rsidRPr="00A000DA">
        <w:rPr>
          <w:rFonts w:ascii="Times New Roman" w:hAnsi="Times New Roman" w:cs="Times New Roman"/>
          <w:sz w:val="24"/>
        </w:rPr>
        <w:t>Sernapesca</w:t>
      </w:r>
      <w:proofErr w:type="spellEnd"/>
      <w:r w:rsidRPr="00A000D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00DA">
        <w:rPr>
          <w:rFonts w:ascii="Times New Roman" w:hAnsi="Times New Roman" w:cs="Times New Roman"/>
          <w:sz w:val="24"/>
        </w:rPr>
        <w:t>Subpesca</w:t>
      </w:r>
      <w:proofErr w:type="spellEnd"/>
      <w:r w:rsidRPr="00A000DA">
        <w:rPr>
          <w:rFonts w:ascii="Times New Roman" w:hAnsi="Times New Roman" w:cs="Times New Roman"/>
          <w:sz w:val="24"/>
        </w:rPr>
        <w:t xml:space="preserve"> u otras entidades, los que siempre consideraron la participación de organizaciones de estos niveles.</w:t>
      </w:r>
    </w:p>
    <w:p w14:paraId="323BCCF4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6D9E1B1A" w14:textId="3B328941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En ningún momento, se expresó que la norma del artículo 11</w:t>
      </w:r>
      <w:r w:rsidR="00A000DA" w:rsidRPr="00A000DA">
        <w:rPr>
          <w:rFonts w:ascii="Times New Roman" w:hAnsi="Times New Roman" w:cs="Times New Roman"/>
          <w:sz w:val="24"/>
        </w:rPr>
        <w:t>º</w:t>
      </w:r>
      <w:r w:rsidRPr="00A000D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A000DA">
        <w:rPr>
          <w:rFonts w:ascii="Times New Roman" w:hAnsi="Times New Roman" w:cs="Times New Roman"/>
          <w:sz w:val="24"/>
        </w:rPr>
        <w:t>reservaría la calidad de beneficiarios solo a las organizaciones de base, directamente conformadas por pescadores artesanales.</w:t>
      </w:r>
    </w:p>
    <w:p w14:paraId="1CC84993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0F2C4583" w14:textId="16F27859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En consecuencia, si no existió una norma expresa que las excluyera, sino que, por el contrario, del debate legislativo se desprende que existía la intención de dar continuidad a los programas vigentes tal cual estaban operando a esa fecha, se hace necesario establecer una interpretación auténtica de la Ley</w:t>
      </w:r>
      <w:r w:rsidR="00A000DA">
        <w:rPr>
          <w:rFonts w:ascii="Times New Roman" w:hAnsi="Times New Roman" w:cs="Times New Roman"/>
          <w:sz w:val="24"/>
        </w:rPr>
        <w:t xml:space="preserve"> </w:t>
      </w:r>
      <w:r w:rsidRPr="00A000DA">
        <w:rPr>
          <w:rFonts w:ascii="Times New Roman" w:hAnsi="Times New Roman" w:cs="Times New Roman"/>
          <w:sz w:val="24"/>
        </w:rPr>
        <w:t>21.069, que salve cualquiera duda que pudiera existir en la tramitación del reglamento que establece el artículo 5</w:t>
      </w:r>
      <w:r w:rsidR="00A000DA" w:rsidRPr="00A000DA">
        <w:rPr>
          <w:rFonts w:ascii="Times New Roman" w:hAnsi="Times New Roman" w:cs="Times New Roman"/>
          <w:sz w:val="24"/>
        </w:rPr>
        <w:t>º</w:t>
      </w:r>
      <w:r w:rsidRPr="00A000D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A000DA">
        <w:rPr>
          <w:rFonts w:ascii="Times New Roman" w:hAnsi="Times New Roman" w:cs="Times New Roman"/>
          <w:sz w:val="24"/>
        </w:rPr>
        <w:t>de la ley.</w:t>
      </w:r>
    </w:p>
    <w:p w14:paraId="6EFF9A03" w14:textId="5EC46152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2ED666EC" w14:textId="7237474B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4DB70719" w14:textId="019837DB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47A38401" w14:textId="670C0416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5305B09C" w14:textId="1C552ABD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0A5554E1" w14:textId="06A5E268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24EB58C5" w14:textId="73B93EC0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24A94D01" w14:textId="0DFBDF95" w:rsid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0CA28B82" w14:textId="77777777" w:rsidR="008A7572" w:rsidRDefault="008A7572" w:rsidP="008A7572">
      <w:pPr>
        <w:spacing w:after="0" w:line="312" w:lineRule="auto"/>
        <w:ind w:left="0" w:firstLine="0"/>
        <w:rPr>
          <w:rFonts w:ascii="Times New Roman" w:hAnsi="Times New Roman" w:cs="Times New Roman"/>
          <w:sz w:val="24"/>
        </w:rPr>
      </w:pPr>
    </w:p>
    <w:p w14:paraId="30736804" w14:textId="52CEB6C5" w:rsidR="009B6235" w:rsidRDefault="008A7572" w:rsidP="008A7572">
      <w:pPr>
        <w:spacing w:after="0" w:line="312" w:lineRule="auto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A000DA">
        <w:rPr>
          <w:rFonts w:ascii="Times New Roman" w:hAnsi="Times New Roman" w:cs="Times New Roman"/>
          <w:b/>
          <w:bCs/>
          <w:sz w:val="24"/>
        </w:rPr>
        <w:lastRenderedPageBreak/>
        <w:t>OBJETIVO DEL PROYECTO.</w:t>
      </w:r>
    </w:p>
    <w:p w14:paraId="5F46746A" w14:textId="77777777" w:rsidR="008A7572" w:rsidRPr="00A000DA" w:rsidRDefault="008A7572" w:rsidP="008A7572">
      <w:pPr>
        <w:spacing w:after="0" w:line="312" w:lineRule="auto"/>
        <w:ind w:left="0" w:firstLine="0"/>
        <w:rPr>
          <w:rFonts w:ascii="Times New Roman" w:hAnsi="Times New Roman" w:cs="Times New Roman"/>
          <w:b/>
          <w:bCs/>
          <w:sz w:val="24"/>
        </w:rPr>
      </w:pPr>
    </w:p>
    <w:p w14:paraId="566A287C" w14:textId="66B20BD7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El objetivo del proyecto es interpretar las normas de la Ley N</w:t>
      </w:r>
      <w:r w:rsidR="00A000DA" w:rsidRPr="00A000DA">
        <w:rPr>
          <w:rFonts w:ascii="Times New Roman" w:hAnsi="Times New Roman" w:cs="Times New Roman"/>
          <w:sz w:val="24"/>
        </w:rPr>
        <w:t>º</w:t>
      </w:r>
      <w:r w:rsidRPr="00A000DA">
        <w:rPr>
          <w:rFonts w:ascii="Times New Roman" w:hAnsi="Times New Roman" w:cs="Times New Roman"/>
          <w:sz w:val="24"/>
        </w:rPr>
        <w:t xml:space="preserve"> 21.069, que crea </w:t>
      </w:r>
      <w:proofErr w:type="spellStart"/>
      <w:r w:rsidRPr="00A000DA">
        <w:rPr>
          <w:rFonts w:ascii="Times New Roman" w:hAnsi="Times New Roman" w:cs="Times New Roman"/>
          <w:sz w:val="24"/>
        </w:rPr>
        <w:t>Indespa</w:t>
      </w:r>
      <w:proofErr w:type="spellEnd"/>
      <w:r w:rsidRPr="00A000DA">
        <w:rPr>
          <w:rFonts w:ascii="Times New Roman" w:hAnsi="Times New Roman" w:cs="Times New Roman"/>
          <w:sz w:val="24"/>
        </w:rPr>
        <w:t>, referidas a los beneficiarios de la nueva entidad, en el sentido de que la referencia a las organizaciones de pescadores artesanales, incluye a organizaciones de base, y de segundo y tercer nivel.</w:t>
      </w:r>
    </w:p>
    <w:p w14:paraId="577D3775" w14:textId="77777777" w:rsidR="00A000DA" w:rsidRPr="00A000DA" w:rsidRDefault="00A000DA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419FFE61" w14:textId="2CECDFF9" w:rsidR="009B6235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Por estas razones, venimos en proponer el siguiente:</w:t>
      </w:r>
    </w:p>
    <w:p w14:paraId="165928A7" w14:textId="77777777" w:rsidR="008A7572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</w:p>
    <w:p w14:paraId="31EEA735" w14:textId="7579564C" w:rsidR="009B6235" w:rsidRDefault="008A7572" w:rsidP="008A7572">
      <w:pPr>
        <w:spacing w:after="0" w:line="312" w:lineRule="auto"/>
        <w:ind w:left="0" w:firstLine="0"/>
        <w:rPr>
          <w:rFonts w:ascii="Times New Roman" w:hAnsi="Times New Roman" w:cs="Times New Roman"/>
          <w:b/>
          <w:bCs/>
          <w:sz w:val="24"/>
        </w:rPr>
      </w:pPr>
      <w:r w:rsidRPr="00A000DA">
        <w:rPr>
          <w:rFonts w:ascii="Times New Roman" w:hAnsi="Times New Roman" w:cs="Times New Roman"/>
          <w:b/>
          <w:bCs/>
          <w:sz w:val="24"/>
        </w:rPr>
        <w:t>PROYECTO DE LEY QUE INTERPRETA EL ARTÍCULO 11</w:t>
      </w:r>
      <w:r w:rsidR="00A000DA" w:rsidRPr="00A000DA">
        <w:rPr>
          <w:rFonts w:ascii="Times New Roman" w:hAnsi="Times New Roman" w:cs="Times New Roman"/>
          <w:b/>
          <w:bCs/>
          <w:sz w:val="24"/>
        </w:rPr>
        <w:t>º</w:t>
      </w:r>
      <w:r w:rsidRPr="00A000DA">
        <w:rPr>
          <w:rFonts w:ascii="Times New Roman" w:hAnsi="Times New Roman" w:cs="Times New Roman"/>
          <w:b/>
          <w:bCs/>
          <w:sz w:val="24"/>
          <w:vertAlign w:val="superscript"/>
        </w:rPr>
        <w:t xml:space="preserve"> </w:t>
      </w:r>
      <w:r w:rsidRPr="00A000DA">
        <w:rPr>
          <w:rFonts w:ascii="Times New Roman" w:hAnsi="Times New Roman" w:cs="Times New Roman"/>
          <w:b/>
          <w:bCs/>
          <w:sz w:val="24"/>
        </w:rPr>
        <w:t>DE LA LEY N</w:t>
      </w:r>
      <w:r w:rsidR="00A000DA" w:rsidRPr="00A000DA">
        <w:rPr>
          <w:rFonts w:ascii="Times New Roman" w:hAnsi="Times New Roman" w:cs="Times New Roman"/>
          <w:b/>
          <w:bCs/>
          <w:sz w:val="24"/>
        </w:rPr>
        <w:t>º</w:t>
      </w:r>
      <w:r w:rsidRPr="00A000DA">
        <w:rPr>
          <w:rFonts w:ascii="Times New Roman" w:hAnsi="Times New Roman" w:cs="Times New Roman"/>
          <w:b/>
          <w:bCs/>
          <w:sz w:val="24"/>
          <w:vertAlign w:val="superscript"/>
        </w:rPr>
        <w:t xml:space="preserve"> </w:t>
      </w:r>
      <w:r w:rsidRPr="00A000DA">
        <w:rPr>
          <w:rFonts w:ascii="Times New Roman" w:hAnsi="Times New Roman" w:cs="Times New Roman"/>
          <w:b/>
          <w:bCs/>
          <w:sz w:val="24"/>
        </w:rPr>
        <w:t>21.069, QUE CREA EL INSTITUTO NACIONAL DE DESARROLLO SUSTENTABLE DE LA PESCA ARTESANAL Y DE LA ACUICULTURA DE PEQUEÑA ESCALA, INDESPA.</w:t>
      </w:r>
    </w:p>
    <w:p w14:paraId="4AF09453" w14:textId="77777777" w:rsidR="008A7572" w:rsidRPr="00A000DA" w:rsidRDefault="008A7572" w:rsidP="008A7572">
      <w:pPr>
        <w:spacing w:after="0" w:line="312" w:lineRule="auto"/>
        <w:ind w:left="0" w:firstLine="0"/>
        <w:rPr>
          <w:rFonts w:ascii="Times New Roman" w:hAnsi="Times New Roman" w:cs="Times New Roman"/>
          <w:b/>
          <w:bCs/>
          <w:sz w:val="24"/>
        </w:rPr>
      </w:pPr>
    </w:p>
    <w:p w14:paraId="2B91592C" w14:textId="473D9D32" w:rsidR="009B6235" w:rsidRPr="00A000DA" w:rsidRDefault="008A7572" w:rsidP="008A7572">
      <w:pPr>
        <w:spacing w:after="0" w:line="312" w:lineRule="auto"/>
        <w:ind w:left="0"/>
        <w:rPr>
          <w:rFonts w:ascii="Times New Roman" w:hAnsi="Times New Roman" w:cs="Times New Roman"/>
          <w:sz w:val="24"/>
        </w:rPr>
      </w:pPr>
      <w:r w:rsidRPr="00A000DA">
        <w:rPr>
          <w:rFonts w:ascii="Times New Roman" w:hAnsi="Times New Roman" w:cs="Times New Roman"/>
          <w:sz w:val="24"/>
        </w:rPr>
        <w:t>Artículo Único: Declárase, interpretando el artículo 11</w:t>
      </w:r>
      <w:r w:rsidR="00A000DA" w:rsidRPr="00A000DA">
        <w:rPr>
          <w:rFonts w:ascii="Times New Roman" w:hAnsi="Times New Roman" w:cs="Times New Roman"/>
          <w:sz w:val="24"/>
        </w:rPr>
        <w:t xml:space="preserve">º </w:t>
      </w:r>
      <w:r w:rsidRPr="00A000DA">
        <w:rPr>
          <w:rFonts w:ascii="Times New Roman" w:hAnsi="Times New Roman" w:cs="Times New Roman"/>
          <w:sz w:val="24"/>
        </w:rPr>
        <w:t xml:space="preserve">de la Ley </w:t>
      </w:r>
      <w:proofErr w:type="gramStart"/>
      <w:r w:rsidRPr="00A000DA">
        <w:rPr>
          <w:rFonts w:ascii="Times New Roman" w:hAnsi="Times New Roman" w:cs="Times New Roman"/>
          <w:sz w:val="24"/>
        </w:rPr>
        <w:t>N</w:t>
      </w:r>
      <w:r w:rsidR="00A000DA" w:rsidRPr="00A000DA">
        <w:rPr>
          <w:rFonts w:ascii="Times New Roman" w:hAnsi="Times New Roman" w:cs="Times New Roman"/>
          <w:sz w:val="24"/>
        </w:rPr>
        <w:t xml:space="preserve">º </w:t>
      </w:r>
      <w:r w:rsidRPr="00A000DA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A000DA">
        <w:rPr>
          <w:rFonts w:ascii="Times New Roman" w:hAnsi="Times New Roman" w:cs="Times New Roman"/>
          <w:sz w:val="24"/>
        </w:rPr>
        <w:t>21.069</w:t>
      </w:r>
      <w:proofErr w:type="gramEnd"/>
      <w:r w:rsidRPr="00A000DA">
        <w:rPr>
          <w:rFonts w:ascii="Times New Roman" w:hAnsi="Times New Roman" w:cs="Times New Roman"/>
          <w:sz w:val="24"/>
        </w:rPr>
        <w:t xml:space="preserve">, que crea el Instituto Nacional de Desarrollo Sustentable de la Pesca Artesanal y la Acuicultura de Pequeña Escala, </w:t>
      </w:r>
      <w:proofErr w:type="spellStart"/>
      <w:r w:rsidRPr="00A000DA">
        <w:rPr>
          <w:rFonts w:ascii="Times New Roman" w:hAnsi="Times New Roman" w:cs="Times New Roman"/>
          <w:sz w:val="24"/>
        </w:rPr>
        <w:t>Indespa</w:t>
      </w:r>
      <w:proofErr w:type="spellEnd"/>
      <w:r w:rsidRPr="00A000DA">
        <w:rPr>
          <w:rFonts w:ascii="Times New Roman" w:hAnsi="Times New Roman" w:cs="Times New Roman"/>
          <w:sz w:val="24"/>
        </w:rPr>
        <w:t>, que las organizaciones de pescadores artesanales a que se refiere la letra c), incluyen a organizaciones de primer, segundo y tercer nivel, es decir, organizaciones de base, federaciones y confederaciones.</w:t>
      </w:r>
    </w:p>
    <w:p w14:paraId="0216BA51" w14:textId="7669F649" w:rsidR="009B6235" w:rsidRPr="00A000DA" w:rsidRDefault="009B6235" w:rsidP="008A7572">
      <w:pPr>
        <w:spacing w:after="0" w:line="312" w:lineRule="auto"/>
        <w:ind w:left="0" w:firstLine="0"/>
        <w:jc w:val="left"/>
        <w:rPr>
          <w:rFonts w:ascii="Times New Roman" w:hAnsi="Times New Roman" w:cs="Times New Roman"/>
          <w:sz w:val="24"/>
        </w:rPr>
      </w:pPr>
    </w:p>
    <w:p w14:paraId="3CF653EC" w14:textId="5A1A5444" w:rsidR="009B6235" w:rsidRDefault="009B6235">
      <w:pPr>
        <w:pStyle w:val="Ttulo2"/>
        <w:spacing w:after="0"/>
        <w:ind w:left="0" w:right="172"/>
      </w:pPr>
    </w:p>
    <w:sectPr w:rsidR="009B6235" w:rsidSect="008A7572">
      <w:pgSz w:w="11900" w:h="18700"/>
      <w:pgMar w:top="2278" w:right="1495" w:bottom="925" w:left="2114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35"/>
    <w:rsid w:val="000733B4"/>
    <w:rsid w:val="000C5A68"/>
    <w:rsid w:val="00491BF3"/>
    <w:rsid w:val="008A7572"/>
    <w:rsid w:val="009B6235"/>
    <w:rsid w:val="00A0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BBDBB"/>
  <w15:docId w15:val="{48C2A2BF-AA43-414C-AC29-CA2C88EC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68" w:lineRule="auto"/>
      <w:ind w:left="37" w:firstLine="6"/>
      <w:jc w:val="both"/>
    </w:pPr>
    <w:rPr>
      <w:rFonts w:ascii="Calibri" w:eastAsia="Calibri" w:hAnsi="Calibri" w:cs="Calibri"/>
      <w:color w:val="000000"/>
      <w:sz w:val="26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jc w:val="right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32" w:line="259" w:lineRule="auto"/>
      <w:ind w:left="188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AVILLARROEL</cp:lastModifiedBy>
  <cp:revision>2</cp:revision>
  <dcterms:created xsi:type="dcterms:W3CDTF">2021-10-06T20:06:00Z</dcterms:created>
  <dcterms:modified xsi:type="dcterms:W3CDTF">2021-10-06T20:06:00Z</dcterms:modified>
</cp:coreProperties>
</file>