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028D5" w14:textId="77777777" w:rsidR="009F7A8C" w:rsidRPr="009F7A8C" w:rsidRDefault="009F7A8C" w:rsidP="00673024">
      <w:pPr>
        <w:spacing w:line="276" w:lineRule="auto"/>
        <w:jc w:val="both"/>
        <w:rPr>
          <w:rStyle w:val="text"/>
          <w:rFonts w:ascii="Times New Roman" w:hAnsi="Times New Roman" w:cs="Times New Roman"/>
          <w:b/>
          <w:bCs/>
          <w:lang w:val="es-ES_tradnl"/>
        </w:rPr>
      </w:pPr>
      <w:bookmarkStart w:id="0" w:name="_GoBack"/>
      <w:bookmarkEnd w:id="0"/>
    </w:p>
    <w:p w14:paraId="79FF971D" w14:textId="5FB25FCB" w:rsidR="009F7A8C" w:rsidRPr="009F7A8C" w:rsidRDefault="009F7A8C" w:rsidP="009F7A8C">
      <w:pPr>
        <w:spacing w:line="276" w:lineRule="auto"/>
        <w:jc w:val="right"/>
        <w:rPr>
          <w:rFonts w:ascii="Times New Roman" w:hAnsi="Times New Roman" w:cs="Times New Roman"/>
          <w:b/>
          <w:bCs/>
        </w:rPr>
      </w:pPr>
      <w:r w:rsidRPr="009F7A8C">
        <w:rPr>
          <w:rStyle w:val="text"/>
          <w:rFonts w:ascii="Times New Roman" w:hAnsi="Times New Roman" w:cs="Times New Roman"/>
          <w:b/>
          <w:bCs/>
          <w:lang w:val="es-ES_tradnl"/>
        </w:rPr>
        <w:t>Boletín N° 14.16</w:t>
      </w:r>
      <w:r w:rsidR="00FD29F4">
        <w:rPr>
          <w:rStyle w:val="text"/>
          <w:rFonts w:ascii="Times New Roman" w:hAnsi="Times New Roman" w:cs="Times New Roman"/>
          <w:b/>
          <w:bCs/>
          <w:lang w:val="es-ES_tradnl"/>
        </w:rPr>
        <w:t>3</w:t>
      </w:r>
      <w:r w:rsidRPr="009F7A8C">
        <w:rPr>
          <w:rStyle w:val="text"/>
          <w:rFonts w:ascii="Times New Roman" w:hAnsi="Times New Roman" w:cs="Times New Roman"/>
          <w:b/>
          <w:bCs/>
          <w:lang w:val="es-ES_tradnl"/>
        </w:rPr>
        <w:t>-03</w:t>
      </w:r>
    </w:p>
    <w:p w14:paraId="6E898DAC" w14:textId="77777777" w:rsidR="009F7A8C" w:rsidRPr="009F7A8C" w:rsidRDefault="009F7A8C" w:rsidP="00673024">
      <w:pPr>
        <w:spacing w:line="276" w:lineRule="auto"/>
        <w:jc w:val="both"/>
        <w:rPr>
          <w:rStyle w:val="text"/>
          <w:rFonts w:ascii="Times New Roman" w:hAnsi="Times New Roman" w:cs="Times New Roman"/>
          <w:b/>
          <w:bCs/>
          <w:lang w:val="es-ES_tradnl"/>
        </w:rPr>
      </w:pPr>
    </w:p>
    <w:p w14:paraId="7A1CFA07" w14:textId="1F27012B" w:rsidR="009F7A8C" w:rsidRPr="009F7A8C" w:rsidRDefault="009F7A8C" w:rsidP="00673024">
      <w:pPr>
        <w:spacing w:line="276" w:lineRule="auto"/>
        <w:jc w:val="both"/>
        <w:rPr>
          <w:rStyle w:val="text"/>
          <w:rFonts w:ascii="Times New Roman" w:hAnsi="Times New Roman" w:cs="Times New Roman"/>
          <w:b/>
          <w:bCs/>
          <w:lang w:val="es-ES_tradnl"/>
        </w:rPr>
      </w:pPr>
      <w:r w:rsidRPr="009F7A8C">
        <w:rPr>
          <w:rStyle w:val="text"/>
          <w:rFonts w:ascii="Times New Roman" w:hAnsi="Times New Roman" w:cs="Times New Roman"/>
          <w:b/>
          <w:bCs/>
          <w:lang w:val="es-ES_tradnl"/>
        </w:rPr>
        <w:t xml:space="preserve">Proyecto de ley, iniciado en moción de los Honorables Senadores señoras Rincón, Carvajal y </w:t>
      </w:r>
      <w:proofErr w:type="spellStart"/>
      <w:r w:rsidRPr="009F7A8C">
        <w:rPr>
          <w:rStyle w:val="text"/>
          <w:rFonts w:ascii="Times New Roman" w:hAnsi="Times New Roman" w:cs="Times New Roman"/>
          <w:b/>
          <w:bCs/>
          <w:lang w:val="es-ES_tradnl"/>
        </w:rPr>
        <w:t>Provoste</w:t>
      </w:r>
      <w:proofErr w:type="spellEnd"/>
      <w:r w:rsidRPr="009F7A8C">
        <w:rPr>
          <w:rStyle w:val="text"/>
          <w:rFonts w:ascii="Times New Roman" w:hAnsi="Times New Roman" w:cs="Times New Roman"/>
          <w:b/>
          <w:bCs/>
          <w:lang w:val="es-ES_tradnl"/>
        </w:rPr>
        <w:t xml:space="preserve">, y </w:t>
      </w:r>
      <w:r w:rsidR="006761D8">
        <w:rPr>
          <w:rStyle w:val="text"/>
          <w:rFonts w:ascii="Times New Roman" w:hAnsi="Times New Roman" w:cs="Times New Roman"/>
          <w:b/>
          <w:bCs/>
          <w:lang w:val="es-ES_tradnl"/>
        </w:rPr>
        <w:t xml:space="preserve">señores Elizalde y </w:t>
      </w:r>
      <w:r w:rsidRPr="009F7A8C">
        <w:rPr>
          <w:rStyle w:val="text"/>
          <w:rFonts w:ascii="Times New Roman" w:hAnsi="Times New Roman" w:cs="Times New Roman"/>
          <w:b/>
          <w:bCs/>
          <w:lang w:val="es-ES_tradnl"/>
        </w:rPr>
        <w:t>Pizarro,</w:t>
      </w:r>
      <w:r w:rsidR="002C5A85">
        <w:rPr>
          <w:rStyle w:val="text"/>
          <w:rFonts w:ascii="Times New Roman" w:hAnsi="Times New Roman" w:cs="Times New Roman"/>
          <w:b/>
          <w:bCs/>
          <w:lang w:val="es-ES_tradnl"/>
        </w:rPr>
        <w:t xml:space="preserve"> que</w:t>
      </w:r>
      <w:r w:rsidRPr="009F7A8C">
        <w:rPr>
          <w:rStyle w:val="text"/>
          <w:rFonts w:ascii="Times New Roman" w:hAnsi="Times New Roman" w:cs="Times New Roman"/>
          <w:b/>
          <w:bCs/>
          <w:lang w:val="es-ES_tradnl"/>
        </w:rPr>
        <w:t xml:space="preserve"> </w:t>
      </w:r>
      <w:r w:rsidR="002C5A85" w:rsidRPr="002C5A85">
        <w:rPr>
          <w:rStyle w:val="text"/>
          <w:rFonts w:ascii="Times New Roman" w:hAnsi="Times New Roman" w:cs="Times New Roman"/>
          <w:b/>
          <w:bCs/>
          <w:lang w:val="es-ES_tradnl"/>
        </w:rPr>
        <w:t>prorroga los efectos de la ley N° 21.249, que dispone, de manera excepcional, las medidas que indica en favor de los usuarios finales de servicios sanitarios, electricidad y gas de red.</w:t>
      </w:r>
    </w:p>
    <w:p w14:paraId="1C5FA89E" w14:textId="77777777" w:rsidR="00D037AC" w:rsidRPr="00673024" w:rsidRDefault="00D037AC" w:rsidP="00673024">
      <w:pPr>
        <w:spacing w:line="276" w:lineRule="auto"/>
        <w:jc w:val="both"/>
        <w:rPr>
          <w:rFonts w:ascii="Garamond" w:hAnsi="Garamond"/>
          <w:sz w:val="26"/>
          <w:szCs w:val="26"/>
        </w:rPr>
      </w:pPr>
    </w:p>
    <w:p w14:paraId="45D0DB3F" w14:textId="3C6C28A2" w:rsidR="00D037AC" w:rsidRPr="00673024" w:rsidRDefault="00D037AC" w:rsidP="00673024">
      <w:pPr>
        <w:spacing w:line="276" w:lineRule="auto"/>
        <w:jc w:val="both"/>
        <w:rPr>
          <w:rFonts w:ascii="Garamond" w:hAnsi="Garamond"/>
          <w:sz w:val="26"/>
          <w:szCs w:val="26"/>
        </w:rPr>
      </w:pPr>
      <w:r w:rsidRPr="00673024">
        <w:rPr>
          <w:rFonts w:ascii="Garamond" w:hAnsi="Garamond"/>
          <w:sz w:val="26"/>
          <w:szCs w:val="26"/>
        </w:rPr>
        <w:t>En consideración al fuerte aumento de casos en las últimas semanas por causa de la pandemia del COVID-19, estimamos que es necesaria una nueva revisión a los plazos que la ley 21.249 establece respecto a los usuarios de servicios sanitarios, electricidad y gas de red.</w:t>
      </w:r>
    </w:p>
    <w:p w14:paraId="15864466" w14:textId="5AFAC2D0" w:rsidR="00D037AC" w:rsidRPr="00673024" w:rsidRDefault="00D037AC" w:rsidP="00673024">
      <w:pPr>
        <w:spacing w:line="276" w:lineRule="auto"/>
        <w:jc w:val="both"/>
        <w:rPr>
          <w:rFonts w:ascii="Garamond" w:hAnsi="Garamond"/>
          <w:sz w:val="26"/>
          <w:szCs w:val="26"/>
        </w:rPr>
      </w:pPr>
    </w:p>
    <w:p w14:paraId="61108385" w14:textId="7796B732" w:rsidR="00D037AC" w:rsidRDefault="00D037AC" w:rsidP="00673024">
      <w:pPr>
        <w:spacing w:line="276" w:lineRule="auto"/>
        <w:jc w:val="both"/>
        <w:rPr>
          <w:rFonts w:ascii="Garamond" w:hAnsi="Garamond"/>
          <w:sz w:val="26"/>
          <w:szCs w:val="26"/>
        </w:rPr>
      </w:pPr>
      <w:r w:rsidRPr="00673024">
        <w:rPr>
          <w:rFonts w:ascii="Garamond" w:hAnsi="Garamond"/>
          <w:sz w:val="26"/>
          <w:szCs w:val="26"/>
        </w:rPr>
        <w:t>Nuestro país y</w:t>
      </w:r>
      <w:r w:rsidR="00673024" w:rsidRPr="00673024">
        <w:rPr>
          <w:rFonts w:ascii="Garamond" w:hAnsi="Garamond"/>
          <w:sz w:val="26"/>
          <w:szCs w:val="26"/>
        </w:rPr>
        <w:t>a</w:t>
      </w:r>
      <w:r w:rsidRPr="00673024">
        <w:rPr>
          <w:rFonts w:ascii="Garamond" w:hAnsi="Garamond"/>
          <w:sz w:val="26"/>
          <w:szCs w:val="26"/>
        </w:rPr>
        <w:t xml:space="preserve"> cumple más de un año sumidos en una de las crisis sanitarias y económicas más fuertes de la que tenemos recuerdo. Actualmente, vivimos una </w:t>
      </w:r>
      <w:r w:rsidR="00673024" w:rsidRPr="00673024">
        <w:rPr>
          <w:rFonts w:ascii="Garamond" w:hAnsi="Garamond"/>
          <w:sz w:val="26"/>
          <w:szCs w:val="26"/>
        </w:rPr>
        <w:t>cl</w:t>
      </w:r>
      <w:r w:rsidRPr="00673024">
        <w:rPr>
          <w:rFonts w:ascii="Garamond" w:hAnsi="Garamond"/>
          <w:sz w:val="26"/>
          <w:szCs w:val="26"/>
        </w:rPr>
        <w:t>ara segunda ola de la pandemia, promediando cada día más de 8</w:t>
      </w:r>
      <w:r w:rsidR="00673024">
        <w:rPr>
          <w:rFonts w:ascii="Garamond" w:hAnsi="Garamond"/>
          <w:sz w:val="26"/>
          <w:szCs w:val="26"/>
        </w:rPr>
        <w:t>.</w:t>
      </w:r>
      <w:r w:rsidRPr="00673024">
        <w:rPr>
          <w:rFonts w:ascii="Garamond" w:hAnsi="Garamond"/>
          <w:sz w:val="26"/>
          <w:szCs w:val="26"/>
        </w:rPr>
        <w:t>000 casos nuevos. Los índices económicos no dan señal clara y estable de recuperación. Hay más de 1 millón de chilenos que ha perdido el empleo como consecuencia directa o indirecta de la crisis económica.</w:t>
      </w:r>
    </w:p>
    <w:p w14:paraId="3A9C266C" w14:textId="137AE144" w:rsidR="00673024" w:rsidRDefault="00673024" w:rsidP="00673024">
      <w:pPr>
        <w:spacing w:line="276" w:lineRule="auto"/>
        <w:jc w:val="both"/>
        <w:rPr>
          <w:rFonts w:ascii="Garamond" w:hAnsi="Garamond"/>
          <w:sz w:val="26"/>
          <w:szCs w:val="26"/>
        </w:rPr>
      </w:pPr>
    </w:p>
    <w:p w14:paraId="6C20B3FC" w14:textId="690E72B4" w:rsidR="00673024" w:rsidRDefault="00673024" w:rsidP="00673024">
      <w:pPr>
        <w:spacing w:line="276" w:lineRule="auto"/>
        <w:jc w:val="both"/>
        <w:rPr>
          <w:rFonts w:ascii="Garamond" w:hAnsi="Garamond"/>
          <w:sz w:val="26"/>
          <w:szCs w:val="26"/>
        </w:rPr>
      </w:pPr>
      <w:r>
        <w:rPr>
          <w:rFonts w:ascii="Garamond" w:hAnsi="Garamond"/>
          <w:sz w:val="26"/>
          <w:szCs w:val="26"/>
        </w:rPr>
        <w:t>Cabe destacar, que los presupuestos e ideas matrices que autorizaron la dictación de la ley 21.249 aún siguen vigentes. Así, cabe destacar que:</w:t>
      </w:r>
    </w:p>
    <w:p w14:paraId="3671E7BD" w14:textId="4AD41B8C" w:rsidR="00673024" w:rsidRDefault="00673024" w:rsidP="00673024">
      <w:pPr>
        <w:spacing w:line="276" w:lineRule="auto"/>
        <w:jc w:val="both"/>
        <w:rPr>
          <w:rFonts w:ascii="Garamond" w:hAnsi="Garamond"/>
          <w:sz w:val="26"/>
          <w:szCs w:val="26"/>
        </w:rPr>
      </w:pPr>
    </w:p>
    <w:p w14:paraId="46319430" w14:textId="421F6181" w:rsidR="00673024" w:rsidRDefault="00673024" w:rsidP="00673024">
      <w:pPr>
        <w:pStyle w:val="Prrafodelista"/>
        <w:numPr>
          <w:ilvl w:val="0"/>
          <w:numId w:val="2"/>
        </w:numPr>
        <w:jc w:val="both"/>
        <w:rPr>
          <w:rFonts w:ascii="Garamond" w:hAnsi="Garamond"/>
          <w:sz w:val="26"/>
          <w:szCs w:val="26"/>
        </w:rPr>
      </w:pPr>
      <w:r>
        <w:rPr>
          <w:rFonts w:ascii="Garamond" w:hAnsi="Garamond"/>
          <w:sz w:val="26"/>
          <w:szCs w:val="26"/>
        </w:rPr>
        <w:t>“</w:t>
      </w:r>
      <w:r w:rsidRPr="00673024">
        <w:rPr>
          <w:rFonts w:ascii="Garamond" w:hAnsi="Garamond"/>
          <w:sz w:val="26"/>
          <w:szCs w:val="26"/>
        </w:rPr>
        <w:t>Los efectos económicos derivados de la crisis sanitaria se están viendo críticamente reflejados en los presupuestos de las familias para poder hacer frente a su subsistencia diaria, teniendo que enfrentar esta situación muchas familias de manera dramática.</w:t>
      </w:r>
      <w:r>
        <w:rPr>
          <w:rFonts w:ascii="Garamond" w:hAnsi="Garamond"/>
          <w:sz w:val="26"/>
          <w:szCs w:val="26"/>
        </w:rPr>
        <w:t>”.</w:t>
      </w:r>
    </w:p>
    <w:p w14:paraId="7FB0B057" w14:textId="7C2F6AC1" w:rsidR="00673024" w:rsidRPr="00673024" w:rsidRDefault="00673024" w:rsidP="00673024">
      <w:pPr>
        <w:pStyle w:val="Prrafodelista"/>
        <w:numPr>
          <w:ilvl w:val="0"/>
          <w:numId w:val="2"/>
        </w:numPr>
        <w:jc w:val="both"/>
        <w:rPr>
          <w:rFonts w:ascii="Garamond" w:hAnsi="Garamond"/>
          <w:sz w:val="26"/>
          <w:szCs w:val="26"/>
        </w:rPr>
      </w:pPr>
      <w:r>
        <w:rPr>
          <w:rFonts w:ascii="Garamond" w:hAnsi="Garamond"/>
          <w:sz w:val="26"/>
          <w:szCs w:val="26"/>
        </w:rPr>
        <w:t>“</w:t>
      </w:r>
      <w:r w:rsidRPr="00673024">
        <w:rPr>
          <w:rFonts w:ascii="Garamond" w:hAnsi="Garamond"/>
          <w:sz w:val="26"/>
          <w:szCs w:val="26"/>
        </w:rPr>
        <w:t>Los presupuestos familiares que se han visto severamente disminuidos están siendo destinados a las más básicas necesidades como son la alimentación, el contar con un lugar para vivir, y el acceso a medicamentos, debiéndose postergar el pagos de servicios que siendo de primera necesidad, las familias no cuentan con recursos para hacer pago de dichos servicios, entre los que se encuentran la energía eléctrica, el agua potable y el gas, en particular en la región de Magallanes donde este elemento es el principal y casi único sistema de calefacción.</w:t>
      </w:r>
      <w:r>
        <w:rPr>
          <w:rFonts w:ascii="Garamond" w:hAnsi="Garamond"/>
          <w:sz w:val="26"/>
          <w:szCs w:val="26"/>
        </w:rPr>
        <w:t>”.</w:t>
      </w:r>
    </w:p>
    <w:p w14:paraId="40694F0E" w14:textId="230AA973" w:rsidR="00D037AC" w:rsidRPr="00673024" w:rsidRDefault="00D037AC" w:rsidP="00673024">
      <w:pPr>
        <w:spacing w:line="276" w:lineRule="auto"/>
        <w:jc w:val="both"/>
        <w:rPr>
          <w:rFonts w:ascii="Garamond" w:hAnsi="Garamond"/>
          <w:sz w:val="26"/>
          <w:szCs w:val="26"/>
        </w:rPr>
      </w:pPr>
    </w:p>
    <w:p w14:paraId="6B1360B0" w14:textId="57C4A065" w:rsidR="00D037AC" w:rsidRPr="00673024" w:rsidRDefault="00D037AC" w:rsidP="00673024">
      <w:pPr>
        <w:spacing w:line="276" w:lineRule="auto"/>
        <w:jc w:val="both"/>
        <w:rPr>
          <w:rFonts w:ascii="Garamond" w:hAnsi="Garamond"/>
          <w:sz w:val="26"/>
          <w:szCs w:val="26"/>
        </w:rPr>
      </w:pPr>
      <w:r w:rsidRPr="00673024">
        <w:rPr>
          <w:rFonts w:ascii="Garamond" w:hAnsi="Garamond"/>
          <w:sz w:val="26"/>
          <w:szCs w:val="26"/>
        </w:rPr>
        <w:t>Si bien se han establecido medidas económicas y planes de gobierno para intentar paliar los efectos económicos de esta pandemia, dentro de los cuales se encuentra la ley 21.249 de moción parlamentaria, estimamos que es necesario ampliar los plazos, y así</w:t>
      </w:r>
      <w:r w:rsidR="00270DD8">
        <w:rPr>
          <w:rFonts w:ascii="Garamond" w:hAnsi="Garamond"/>
          <w:sz w:val="26"/>
          <w:szCs w:val="26"/>
        </w:rPr>
        <w:t>,</w:t>
      </w:r>
      <w:r w:rsidRPr="00673024">
        <w:rPr>
          <w:rFonts w:ascii="Garamond" w:hAnsi="Garamond"/>
          <w:sz w:val="26"/>
          <w:szCs w:val="26"/>
        </w:rPr>
        <w:t xml:space="preserve"> evitar estar legislando </w:t>
      </w:r>
      <w:r w:rsidR="00673024" w:rsidRPr="00673024">
        <w:rPr>
          <w:rFonts w:ascii="Garamond" w:hAnsi="Garamond"/>
          <w:sz w:val="26"/>
          <w:szCs w:val="26"/>
        </w:rPr>
        <w:t>una</w:t>
      </w:r>
      <w:r w:rsidRPr="00673024">
        <w:rPr>
          <w:rFonts w:ascii="Garamond" w:hAnsi="Garamond"/>
          <w:sz w:val="26"/>
          <w:szCs w:val="26"/>
        </w:rPr>
        <w:t xml:space="preserve"> prórroga cada dos o tres meses</w:t>
      </w:r>
      <w:r w:rsidR="00270DD8">
        <w:rPr>
          <w:rFonts w:ascii="Garamond" w:hAnsi="Garamond"/>
          <w:sz w:val="26"/>
          <w:szCs w:val="26"/>
        </w:rPr>
        <w:t xml:space="preserve"> con las demoras que ello conlleva para los usuarios</w:t>
      </w:r>
      <w:r w:rsidRPr="00673024">
        <w:rPr>
          <w:rFonts w:ascii="Garamond" w:hAnsi="Garamond"/>
          <w:sz w:val="26"/>
          <w:szCs w:val="26"/>
        </w:rPr>
        <w:t xml:space="preserve">, </w:t>
      </w:r>
      <w:r w:rsidR="00270DD8">
        <w:rPr>
          <w:rFonts w:ascii="Garamond" w:hAnsi="Garamond"/>
          <w:sz w:val="26"/>
          <w:szCs w:val="26"/>
        </w:rPr>
        <w:t>puesto</w:t>
      </w:r>
      <w:r w:rsidRPr="00673024">
        <w:rPr>
          <w:rFonts w:ascii="Garamond" w:hAnsi="Garamond"/>
          <w:sz w:val="26"/>
          <w:szCs w:val="26"/>
        </w:rPr>
        <w:t xml:space="preserve"> que sabemos que tanto la pandemia, como sus efectos económicos son impredecibles. </w:t>
      </w:r>
      <w:r w:rsidR="00673024" w:rsidRPr="00673024">
        <w:rPr>
          <w:rFonts w:ascii="Garamond" w:hAnsi="Garamond"/>
          <w:sz w:val="26"/>
          <w:szCs w:val="26"/>
        </w:rPr>
        <w:t>Así las cosas</w:t>
      </w:r>
      <w:r w:rsidRPr="00673024">
        <w:rPr>
          <w:rFonts w:ascii="Garamond" w:hAnsi="Garamond"/>
          <w:sz w:val="26"/>
          <w:szCs w:val="26"/>
        </w:rPr>
        <w:t xml:space="preserve">, es necesario establecer un plazo </w:t>
      </w:r>
      <w:r w:rsidRPr="00673024">
        <w:rPr>
          <w:rFonts w:ascii="Garamond" w:hAnsi="Garamond"/>
          <w:sz w:val="26"/>
          <w:szCs w:val="26"/>
        </w:rPr>
        <w:lastRenderedPageBreak/>
        <w:t>que sea lo suficientemente flexible y de un respiro a los millones de chilenos que viven día a día las consecuencias negativas de la pandemia.</w:t>
      </w:r>
    </w:p>
    <w:p w14:paraId="1965A329" w14:textId="6B31137D" w:rsidR="00D037AC" w:rsidRPr="00673024" w:rsidRDefault="00D037AC" w:rsidP="00673024">
      <w:pPr>
        <w:spacing w:line="276" w:lineRule="auto"/>
        <w:jc w:val="both"/>
        <w:rPr>
          <w:rFonts w:ascii="Garamond" w:hAnsi="Garamond"/>
          <w:sz w:val="26"/>
          <w:szCs w:val="26"/>
        </w:rPr>
      </w:pPr>
    </w:p>
    <w:p w14:paraId="54C59A12" w14:textId="67D6E98A" w:rsidR="00D037AC" w:rsidRPr="00673024" w:rsidRDefault="00D037AC" w:rsidP="00673024">
      <w:pPr>
        <w:spacing w:line="276" w:lineRule="auto"/>
        <w:jc w:val="both"/>
        <w:rPr>
          <w:rFonts w:ascii="Garamond" w:hAnsi="Garamond"/>
          <w:sz w:val="26"/>
          <w:szCs w:val="26"/>
        </w:rPr>
      </w:pPr>
      <w:r w:rsidRPr="00673024">
        <w:rPr>
          <w:rFonts w:ascii="Garamond" w:hAnsi="Garamond"/>
          <w:sz w:val="26"/>
          <w:szCs w:val="26"/>
        </w:rPr>
        <w:t>Si bien, ya se efectuó una prórroga de la ley 21.249, de 90 a 270 días, este plazo está próximo a vencer. Por lo tanto, tenemos a bien extender la vigencia de la ley en un plazo no menor a los 540 días desde la entrada en vigencia de la normativa que citamos.</w:t>
      </w:r>
    </w:p>
    <w:p w14:paraId="3ACA41E1" w14:textId="7C4E1A0B" w:rsidR="00D037AC" w:rsidRPr="00673024" w:rsidRDefault="00D037AC" w:rsidP="00673024">
      <w:pPr>
        <w:spacing w:line="276" w:lineRule="auto"/>
        <w:jc w:val="both"/>
        <w:rPr>
          <w:rFonts w:ascii="Garamond" w:hAnsi="Garamond"/>
          <w:sz w:val="26"/>
          <w:szCs w:val="26"/>
        </w:rPr>
      </w:pPr>
    </w:p>
    <w:p w14:paraId="5B4A18DF" w14:textId="65AF86EC" w:rsidR="00D037AC" w:rsidRPr="00673024" w:rsidRDefault="00D037AC" w:rsidP="00673024">
      <w:pPr>
        <w:spacing w:line="276" w:lineRule="auto"/>
        <w:jc w:val="both"/>
        <w:rPr>
          <w:rFonts w:ascii="Garamond" w:hAnsi="Garamond"/>
          <w:sz w:val="26"/>
          <w:szCs w:val="26"/>
        </w:rPr>
      </w:pPr>
      <w:r w:rsidRPr="00673024">
        <w:rPr>
          <w:rFonts w:ascii="Garamond" w:hAnsi="Garamond"/>
          <w:sz w:val="26"/>
          <w:szCs w:val="26"/>
        </w:rPr>
        <w:t>En consideración a los argumentos previamente expresados, los senadores que suscriben, tienen a bien presentar el siguiente proyecto de ley.</w:t>
      </w:r>
    </w:p>
    <w:p w14:paraId="2AB191AE" w14:textId="77777777" w:rsidR="00D037AC" w:rsidRPr="00673024" w:rsidRDefault="00D037AC" w:rsidP="00673024">
      <w:pPr>
        <w:spacing w:line="276" w:lineRule="auto"/>
        <w:jc w:val="both"/>
        <w:rPr>
          <w:rFonts w:ascii="Garamond" w:hAnsi="Garamond"/>
          <w:sz w:val="26"/>
          <w:szCs w:val="26"/>
        </w:rPr>
      </w:pPr>
    </w:p>
    <w:p w14:paraId="0B547C59" w14:textId="77777777" w:rsidR="00D037AC" w:rsidRPr="00673024" w:rsidRDefault="00D037AC" w:rsidP="00673024">
      <w:pPr>
        <w:spacing w:line="276" w:lineRule="auto"/>
        <w:jc w:val="both"/>
        <w:rPr>
          <w:rFonts w:ascii="Garamond" w:hAnsi="Garamond"/>
          <w:sz w:val="26"/>
          <w:szCs w:val="26"/>
        </w:rPr>
      </w:pPr>
    </w:p>
    <w:p w14:paraId="575EFBE8" w14:textId="4FBF43BE" w:rsidR="00945CAE" w:rsidRPr="00673024" w:rsidRDefault="00673024" w:rsidP="00FD29F4">
      <w:pPr>
        <w:spacing w:line="276" w:lineRule="auto"/>
        <w:rPr>
          <w:rFonts w:ascii="Garamond" w:hAnsi="Garamond"/>
          <w:b/>
          <w:bCs/>
          <w:sz w:val="26"/>
          <w:szCs w:val="26"/>
          <w:u w:val="single"/>
        </w:rPr>
      </w:pPr>
      <w:r w:rsidRPr="00673024">
        <w:rPr>
          <w:rFonts w:ascii="Garamond" w:hAnsi="Garamond"/>
          <w:b/>
          <w:bCs/>
          <w:sz w:val="26"/>
          <w:szCs w:val="26"/>
          <w:u w:val="single"/>
        </w:rPr>
        <w:t>PROYECTO DE LEY</w:t>
      </w:r>
    </w:p>
    <w:p w14:paraId="71F2EAA4" w14:textId="77777777" w:rsidR="00945CAE" w:rsidRPr="00673024" w:rsidRDefault="00945CAE" w:rsidP="00673024">
      <w:pPr>
        <w:spacing w:line="276" w:lineRule="auto"/>
        <w:jc w:val="both"/>
        <w:rPr>
          <w:rFonts w:ascii="Garamond" w:hAnsi="Garamond"/>
          <w:sz w:val="26"/>
          <w:szCs w:val="26"/>
        </w:rPr>
      </w:pPr>
    </w:p>
    <w:p w14:paraId="0F207CFC" w14:textId="77777777" w:rsidR="00945CAE" w:rsidRPr="00673024" w:rsidRDefault="00945CAE" w:rsidP="00673024">
      <w:pPr>
        <w:spacing w:line="276" w:lineRule="auto"/>
        <w:jc w:val="both"/>
        <w:rPr>
          <w:rFonts w:ascii="Garamond" w:hAnsi="Garamond"/>
          <w:sz w:val="26"/>
          <w:szCs w:val="26"/>
        </w:rPr>
      </w:pPr>
      <w:r w:rsidRPr="00673024">
        <w:rPr>
          <w:rFonts w:ascii="Garamond" w:hAnsi="Garamond"/>
          <w:sz w:val="26"/>
          <w:szCs w:val="26"/>
        </w:rPr>
        <w:t xml:space="preserve">    "Artículo </w:t>
      </w:r>
      <w:proofErr w:type="gramStart"/>
      <w:r w:rsidRPr="00673024">
        <w:rPr>
          <w:rFonts w:ascii="Garamond" w:hAnsi="Garamond"/>
          <w:sz w:val="26"/>
          <w:szCs w:val="26"/>
        </w:rPr>
        <w:t>único.-</w:t>
      </w:r>
      <w:proofErr w:type="gramEnd"/>
      <w:r w:rsidRPr="00673024">
        <w:rPr>
          <w:rFonts w:ascii="Garamond" w:hAnsi="Garamond"/>
          <w:sz w:val="26"/>
          <w:szCs w:val="26"/>
        </w:rPr>
        <w:t xml:space="preserve"> </w:t>
      </w:r>
      <w:proofErr w:type="spellStart"/>
      <w:r w:rsidRPr="00673024">
        <w:rPr>
          <w:rFonts w:ascii="Garamond" w:hAnsi="Garamond"/>
          <w:sz w:val="26"/>
          <w:szCs w:val="26"/>
        </w:rPr>
        <w:t>Modifícase</w:t>
      </w:r>
      <w:proofErr w:type="spellEnd"/>
      <w:r w:rsidRPr="00673024">
        <w:rPr>
          <w:rFonts w:ascii="Garamond" w:hAnsi="Garamond"/>
          <w:sz w:val="26"/>
          <w:szCs w:val="26"/>
        </w:rPr>
        <w:t xml:space="preserve"> la ley Nº 21.249, que dispone, de manera excepcional, las medidas que indica en favor de los usuarios finales de servicios sanitarios, electricidad y gas de red, de la manera que sigue:</w:t>
      </w:r>
    </w:p>
    <w:p w14:paraId="6C677622" w14:textId="77777777" w:rsidR="00945CAE" w:rsidRPr="00673024" w:rsidRDefault="00945CAE" w:rsidP="00673024">
      <w:pPr>
        <w:spacing w:line="276" w:lineRule="auto"/>
        <w:jc w:val="both"/>
        <w:rPr>
          <w:rFonts w:ascii="Garamond" w:hAnsi="Garamond"/>
          <w:sz w:val="26"/>
          <w:szCs w:val="26"/>
        </w:rPr>
      </w:pPr>
      <w:r w:rsidRPr="00673024">
        <w:rPr>
          <w:rFonts w:ascii="Garamond" w:hAnsi="Garamond"/>
          <w:sz w:val="26"/>
          <w:szCs w:val="26"/>
        </w:rPr>
        <w:t xml:space="preserve">     </w:t>
      </w:r>
    </w:p>
    <w:p w14:paraId="582BE518" w14:textId="12B71AA6" w:rsidR="00945CAE" w:rsidRPr="00673024" w:rsidRDefault="00945CAE" w:rsidP="00673024">
      <w:pPr>
        <w:pStyle w:val="Prrafodelista"/>
        <w:numPr>
          <w:ilvl w:val="0"/>
          <w:numId w:val="1"/>
        </w:numPr>
        <w:spacing w:line="276" w:lineRule="auto"/>
        <w:jc w:val="both"/>
        <w:rPr>
          <w:rFonts w:ascii="Garamond" w:hAnsi="Garamond"/>
          <w:sz w:val="26"/>
          <w:szCs w:val="26"/>
        </w:rPr>
      </w:pPr>
      <w:proofErr w:type="spellStart"/>
      <w:r w:rsidRPr="00673024">
        <w:rPr>
          <w:rFonts w:ascii="Garamond" w:hAnsi="Garamond"/>
          <w:sz w:val="26"/>
          <w:szCs w:val="26"/>
        </w:rPr>
        <w:t>Sustitúyese</w:t>
      </w:r>
      <w:proofErr w:type="spellEnd"/>
      <w:r w:rsidRPr="00673024">
        <w:rPr>
          <w:rFonts w:ascii="Garamond" w:hAnsi="Garamond"/>
          <w:sz w:val="26"/>
          <w:szCs w:val="26"/>
        </w:rPr>
        <w:t xml:space="preserve"> el guarismo "doscientos setenta" por "quinientos cuarenta", en el inciso primero del artículo 1.</w:t>
      </w:r>
    </w:p>
    <w:p w14:paraId="0C027769" w14:textId="39505D33" w:rsidR="00945CAE" w:rsidRPr="00673024" w:rsidRDefault="00945CAE" w:rsidP="00673024">
      <w:pPr>
        <w:spacing w:line="276" w:lineRule="auto"/>
        <w:ind w:firstLine="60"/>
        <w:jc w:val="both"/>
        <w:rPr>
          <w:rFonts w:ascii="Garamond" w:hAnsi="Garamond"/>
          <w:sz w:val="26"/>
          <w:szCs w:val="26"/>
        </w:rPr>
      </w:pPr>
    </w:p>
    <w:p w14:paraId="2700B58B" w14:textId="007462E4" w:rsidR="00945CAE" w:rsidRPr="00673024" w:rsidRDefault="00945CAE" w:rsidP="00673024">
      <w:pPr>
        <w:pStyle w:val="Prrafodelista"/>
        <w:numPr>
          <w:ilvl w:val="0"/>
          <w:numId w:val="1"/>
        </w:numPr>
        <w:spacing w:line="276" w:lineRule="auto"/>
        <w:jc w:val="both"/>
        <w:rPr>
          <w:rFonts w:ascii="Garamond" w:hAnsi="Garamond"/>
          <w:sz w:val="26"/>
          <w:szCs w:val="26"/>
        </w:rPr>
      </w:pPr>
      <w:proofErr w:type="spellStart"/>
      <w:r w:rsidRPr="00673024">
        <w:rPr>
          <w:rFonts w:ascii="Garamond" w:hAnsi="Garamond"/>
          <w:sz w:val="26"/>
          <w:szCs w:val="26"/>
        </w:rPr>
        <w:t>Sustitúyese</w:t>
      </w:r>
      <w:proofErr w:type="spellEnd"/>
      <w:r w:rsidRPr="00673024">
        <w:rPr>
          <w:rFonts w:ascii="Garamond" w:hAnsi="Garamond"/>
          <w:sz w:val="26"/>
          <w:szCs w:val="26"/>
        </w:rPr>
        <w:t xml:space="preserve"> el guarismo "doscientos setenta" por "quinientos cuarenta", en el inciso primero del artículo 2.</w:t>
      </w:r>
    </w:p>
    <w:p w14:paraId="0607A698" w14:textId="77777777" w:rsidR="00945CAE" w:rsidRPr="00673024" w:rsidRDefault="00945CAE" w:rsidP="00673024">
      <w:pPr>
        <w:spacing w:line="276" w:lineRule="auto"/>
        <w:jc w:val="both"/>
        <w:rPr>
          <w:rFonts w:ascii="Garamond" w:hAnsi="Garamond"/>
          <w:sz w:val="26"/>
          <w:szCs w:val="26"/>
        </w:rPr>
      </w:pPr>
    </w:p>
    <w:p w14:paraId="3D461D2E" w14:textId="77777777" w:rsidR="00945CAE" w:rsidRPr="00673024" w:rsidRDefault="00945CAE" w:rsidP="00673024">
      <w:pPr>
        <w:pStyle w:val="Prrafodelista"/>
        <w:numPr>
          <w:ilvl w:val="0"/>
          <w:numId w:val="1"/>
        </w:numPr>
        <w:spacing w:line="276" w:lineRule="auto"/>
        <w:jc w:val="both"/>
        <w:rPr>
          <w:rFonts w:ascii="Garamond" w:hAnsi="Garamond"/>
          <w:sz w:val="26"/>
          <w:szCs w:val="26"/>
        </w:rPr>
      </w:pPr>
      <w:proofErr w:type="spellStart"/>
      <w:r w:rsidRPr="00673024">
        <w:rPr>
          <w:rFonts w:ascii="Garamond" w:hAnsi="Garamond"/>
          <w:sz w:val="26"/>
          <w:szCs w:val="26"/>
        </w:rPr>
        <w:t>Sustitúyese</w:t>
      </w:r>
      <w:proofErr w:type="spellEnd"/>
      <w:r w:rsidRPr="00673024">
        <w:rPr>
          <w:rFonts w:ascii="Garamond" w:hAnsi="Garamond"/>
          <w:sz w:val="26"/>
          <w:szCs w:val="26"/>
        </w:rPr>
        <w:t xml:space="preserve"> el guarismo "treinta y seis" por "setenta y dos", en el inciso primero del artículo 2.</w:t>
      </w:r>
    </w:p>
    <w:p w14:paraId="63F77256" w14:textId="77777777" w:rsidR="00945CAE" w:rsidRPr="00673024" w:rsidRDefault="00945CAE" w:rsidP="00673024">
      <w:pPr>
        <w:spacing w:line="276" w:lineRule="auto"/>
        <w:jc w:val="both"/>
        <w:rPr>
          <w:rFonts w:ascii="Garamond" w:hAnsi="Garamond"/>
          <w:sz w:val="26"/>
          <w:szCs w:val="26"/>
        </w:rPr>
      </w:pPr>
    </w:p>
    <w:p w14:paraId="10F611EA" w14:textId="4CC47991" w:rsidR="00945CAE" w:rsidRPr="00673024" w:rsidRDefault="00945CAE" w:rsidP="00673024">
      <w:pPr>
        <w:pStyle w:val="Prrafodelista"/>
        <w:numPr>
          <w:ilvl w:val="0"/>
          <w:numId w:val="1"/>
        </w:numPr>
        <w:spacing w:line="276" w:lineRule="auto"/>
        <w:jc w:val="both"/>
        <w:rPr>
          <w:rFonts w:ascii="Garamond" w:hAnsi="Garamond" w:cs="Times New Roman"/>
          <w:sz w:val="26"/>
          <w:szCs w:val="26"/>
        </w:rPr>
      </w:pPr>
      <w:r w:rsidRPr="00673024">
        <w:rPr>
          <w:rFonts w:ascii="Garamond" w:hAnsi="Garamond" w:cs="Times New Roman"/>
          <w:sz w:val="26"/>
          <w:szCs w:val="26"/>
        </w:rPr>
        <w:t xml:space="preserve">Suprímanse los artículos 3°, 4° y 5°. </w:t>
      </w:r>
    </w:p>
    <w:p w14:paraId="371AC09A" w14:textId="77777777" w:rsidR="00945CAE" w:rsidRPr="00673024" w:rsidRDefault="00945CAE" w:rsidP="00673024">
      <w:pPr>
        <w:spacing w:line="276" w:lineRule="auto"/>
        <w:jc w:val="both"/>
        <w:rPr>
          <w:rFonts w:ascii="Garamond" w:hAnsi="Garamond"/>
          <w:sz w:val="26"/>
          <w:szCs w:val="26"/>
        </w:rPr>
      </w:pPr>
    </w:p>
    <w:p w14:paraId="22C9D0EA" w14:textId="327F69DF" w:rsidR="00945CAE" w:rsidRPr="00673024" w:rsidRDefault="00945CAE" w:rsidP="00673024">
      <w:pPr>
        <w:pStyle w:val="Prrafodelista"/>
        <w:numPr>
          <w:ilvl w:val="0"/>
          <w:numId w:val="1"/>
        </w:numPr>
        <w:spacing w:line="276" w:lineRule="auto"/>
        <w:jc w:val="both"/>
        <w:rPr>
          <w:rFonts w:ascii="Garamond" w:hAnsi="Garamond"/>
          <w:sz w:val="26"/>
          <w:szCs w:val="26"/>
        </w:rPr>
      </w:pPr>
      <w:proofErr w:type="spellStart"/>
      <w:r w:rsidRPr="00673024">
        <w:rPr>
          <w:rFonts w:ascii="Garamond" w:hAnsi="Garamond"/>
          <w:sz w:val="26"/>
          <w:szCs w:val="26"/>
        </w:rPr>
        <w:t>Sustitúyese</w:t>
      </w:r>
      <w:proofErr w:type="spellEnd"/>
      <w:r w:rsidRPr="00673024">
        <w:rPr>
          <w:rFonts w:ascii="Garamond" w:hAnsi="Garamond"/>
          <w:sz w:val="26"/>
          <w:szCs w:val="26"/>
        </w:rPr>
        <w:t xml:space="preserve"> el guarismo "doscientos setenta" por "quinientos cuarenta", en el inciso primero del artículo 7.</w:t>
      </w:r>
    </w:p>
    <w:p w14:paraId="799755BD" w14:textId="77777777" w:rsidR="00945CAE" w:rsidRPr="00673024" w:rsidRDefault="00945CAE" w:rsidP="00673024">
      <w:pPr>
        <w:spacing w:line="276" w:lineRule="auto"/>
        <w:jc w:val="both"/>
        <w:rPr>
          <w:rFonts w:ascii="Garamond" w:hAnsi="Garamond"/>
          <w:sz w:val="26"/>
          <w:szCs w:val="26"/>
        </w:rPr>
      </w:pPr>
    </w:p>
    <w:p w14:paraId="3360560F" w14:textId="7E17FECF" w:rsidR="00945CAE" w:rsidRPr="00673024" w:rsidRDefault="00945CAE" w:rsidP="00673024">
      <w:pPr>
        <w:pStyle w:val="Prrafodelista"/>
        <w:numPr>
          <w:ilvl w:val="0"/>
          <w:numId w:val="1"/>
        </w:numPr>
        <w:spacing w:line="276" w:lineRule="auto"/>
        <w:jc w:val="both"/>
        <w:rPr>
          <w:rFonts w:ascii="Garamond" w:hAnsi="Garamond"/>
          <w:sz w:val="26"/>
          <w:szCs w:val="26"/>
        </w:rPr>
      </w:pPr>
      <w:proofErr w:type="spellStart"/>
      <w:r w:rsidRPr="00673024">
        <w:rPr>
          <w:rFonts w:ascii="Garamond" w:hAnsi="Garamond"/>
          <w:sz w:val="26"/>
          <w:szCs w:val="26"/>
        </w:rPr>
        <w:t>Sustitúyese</w:t>
      </w:r>
      <w:proofErr w:type="spellEnd"/>
      <w:r w:rsidRPr="00673024">
        <w:rPr>
          <w:rFonts w:ascii="Garamond" w:hAnsi="Garamond"/>
          <w:sz w:val="26"/>
          <w:szCs w:val="26"/>
        </w:rPr>
        <w:t xml:space="preserve"> el guarismo "doscientos setenta" por "quinientos cuarenta", en el inciso segundo del artículo 7.</w:t>
      </w:r>
    </w:p>
    <w:p w14:paraId="512A32F0" w14:textId="28789282" w:rsidR="009939C6" w:rsidRPr="00673024" w:rsidRDefault="004B680C" w:rsidP="00673024">
      <w:pPr>
        <w:spacing w:line="276" w:lineRule="auto"/>
        <w:jc w:val="both"/>
        <w:rPr>
          <w:rFonts w:ascii="Garamond" w:hAnsi="Garamond"/>
          <w:sz w:val="26"/>
          <w:szCs w:val="26"/>
        </w:rPr>
      </w:pPr>
    </w:p>
    <w:p w14:paraId="2D29DB16" w14:textId="118C1CB7" w:rsidR="00945CAE" w:rsidRPr="00673024" w:rsidRDefault="00945CAE" w:rsidP="00673024">
      <w:pPr>
        <w:pStyle w:val="Prrafodelista"/>
        <w:numPr>
          <w:ilvl w:val="0"/>
          <w:numId w:val="1"/>
        </w:numPr>
        <w:spacing w:line="276" w:lineRule="auto"/>
        <w:jc w:val="both"/>
        <w:rPr>
          <w:rFonts w:ascii="Garamond" w:hAnsi="Garamond"/>
          <w:sz w:val="26"/>
          <w:szCs w:val="26"/>
        </w:rPr>
      </w:pPr>
      <w:r w:rsidRPr="00673024">
        <w:rPr>
          <w:rFonts w:ascii="Garamond" w:hAnsi="Garamond"/>
          <w:sz w:val="26"/>
          <w:szCs w:val="26"/>
        </w:rPr>
        <w:t>Para agregar el siguiente artículo 11, del siguiente tenor:</w:t>
      </w:r>
    </w:p>
    <w:p w14:paraId="473651F3" w14:textId="09F2BD55" w:rsidR="00945CAE" w:rsidRPr="00673024" w:rsidRDefault="00945CAE" w:rsidP="00673024">
      <w:pPr>
        <w:spacing w:line="276" w:lineRule="auto"/>
        <w:jc w:val="both"/>
        <w:rPr>
          <w:rFonts w:ascii="Garamond" w:hAnsi="Garamond"/>
          <w:sz w:val="26"/>
          <w:szCs w:val="26"/>
        </w:rPr>
      </w:pPr>
    </w:p>
    <w:p w14:paraId="4056287E" w14:textId="5DD9329C" w:rsidR="00945CAE" w:rsidRPr="00673024" w:rsidRDefault="00945CAE" w:rsidP="00673024">
      <w:pPr>
        <w:pStyle w:val="Prrafodelista"/>
        <w:spacing w:line="276" w:lineRule="auto"/>
        <w:jc w:val="both"/>
        <w:rPr>
          <w:rFonts w:ascii="Garamond" w:hAnsi="Garamond"/>
          <w:sz w:val="26"/>
          <w:szCs w:val="26"/>
        </w:rPr>
      </w:pPr>
      <w:r w:rsidRPr="00673024">
        <w:rPr>
          <w:rFonts w:ascii="Garamond" w:hAnsi="Garamond"/>
          <w:sz w:val="26"/>
          <w:szCs w:val="26"/>
        </w:rPr>
        <w:t xml:space="preserve">“Artículo 11: Los plazos establecidos en los artículos 1, 2, 5 y 7 de la presente ley, se duplicarán si en los 90 días previos al plazo señalado en el artículo 1, </w:t>
      </w:r>
      <w:r w:rsidR="00D037AC" w:rsidRPr="00673024">
        <w:rPr>
          <w:rFonts w:ascii="Garamond" w:hAnsi="Garamond"/>
          <w:sz w:val="26"/>
          <w:szCs w:val="26"/>
        </w:rPr>
        <w:t xml:space="preserve">si </w:t>
      </w:r>
      <w:r w:rsidRPr="00673024">
        <w:rPr>
          <w:rFonts w:ascii="Garamond" w:hAnsi="Garamond"/>
          <w:sz w:val="26"/>
          <w:szCs w:val="26"/>
        </w:rPr>
        <w:t>se decretare</w:t>
      </w:r>
      <w:r w:rsidR="00D037AC" w:rsidRPr="00673024">
        <w:rPr>
          <w:rFonts w:ascii="Garamond" w:hAnsi="Garamond"/>
          <w:sz w:val="26"/>
          <w:szCs w:val="26"/>
        </w:rPr>
        <w:t>, prorrogare</w:t>
      </w:r>
      <w:r w:rsidRPr="00673024">
        <w:rPr>
          <w:rFonts w:ascii="Garamond" w:hAnsi="Garamond"/>
          <w:sz w:val="26"/>
          <w:szCs w:val="26"/>
        </w:rPr>
        <w:t xml:space="preserve"> o estuviere vigente un decreto de estado de excepción </w:t>
      </w:r>
      <w:r w:rsidRPr="00673024">
        <w:rPr>
          <w:rFonts w:ascii="Garamond" w:hAnsi="Garamond"/>
          <w:sz w:val="26"/>
          <w:szCs w:val="26"/>
        </w:rPr>
        <w:lastRenderedPageBreak/>
        <w:t>constitucional de catástrofe u otro análogo, por calamidad pública, sea en una o más regiones.”.</w:t>
      </w:r>
    </w:p>
    <w:sectPr w:rsidR="00945CAE" w:rsidRPr="006730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1D2F"/>
    <w:multiLevelType w:val="hybridMultilevel"/>
    <w:tmpl w:val="D66C6C0A"/>
    <w:lvl w:ilvl="0" w:tplc="84343418">
      <w:start w:val="5"/>
      <w:numFmt w:val="bullet"/>
      <w:lvlText w:val="-"/>
      <w:lvlJc w:val="left"/>
      <w:pPr>
        <w:ind w:left="720" w:hanging="360"/>
      </w:pPr>
      <w:rPr>
        <w:rFonts w:ascii="Garamond" w:eastAsiaTheme="minorHAnsi" w:hAnsi="Garamon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840C6F"/>
    <w:multiLevelType w:val="hybridMultilevel"/>
    <w:tmpl w:val="73702E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AE"/>
    <w:rsid w:val="00270DD8"/>
    <w:rsid w:val="002C5A85"/>
    <w:rsid w:val="002D6F93"/>
    <w:rsid w:val="003317C9"/>
    <w:rsid w:val="0034550F"/>
    <w:rsid w:val="004B680C"/>
    <w:rsid w:val="00673024"/>
    <w:rsid w:val="006761D8"/>
    <w:rsid w:val="00721D11"/>
    <w:rsid w:val="00945CAE"/>
    <w:rsid w:val="009F7A8C"/>
    <w:rsid w:val="00D037AC"/>
    <w:rsid w:val="00FD29F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3B73A"/>
  <w15:chartTrackingRefBased/>
  <w15:docId w15:val="{AA3EE7EC-3048-AB46-8B12-AD1B4E2B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5CAE"/>
    <w:pPr>
      <w:ind w:left="720"/>
      <w:contextualSpacing/>
    </w:pPr>
  </w:style>
  <w:style w:type="character" w:customStyle="1" w:styleId="text">
    <w:name w:val="text"/>
    <w:basedOn w:val="Fuentedeprrafopredeter"/>
    <w:rsid w:val="009F7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51912">
      <w:bodyDiv w:val="1"/>
      <w:marLeft w:val="0"/>
      <w:marRight w:val="0"/>
      <w:marTop w:val="0"/>
      <w:marBottom w:val="0"/>
      <w:divBdr>
        <w:top w:val="none" w:sz="0" w:space="0" w:color="auto"/>
        <w:left w:val="none" w:sz="0" w:space="0" w:color="auto"/>
        <w:bottom w:val="none" w:sz="0" w:space="0" w:color="auto"/>
        <w:right w:val="none" w:sz="0" w:space="0" w:color="auto"/>
      </w:divBdr>
      <w:divsChild>
        <w:div w:id="132911981">
          <w:marLeft w:val="0"/>
          <w:marRight w:val="0"/>
          <w:marTop w:val="0"/>
          <w:marBottom w:val="0"/>
          <w:divBdr>
            <w:top w:val="none" w:sz="0" w:space="0" w:color="auto"/>
            <w:left w:val="none" w:sz="0" w:space="0" w:color="auto"/>
            <w:bottom w:val="none" w:sz="0" w:space="0" w:color="auto"/>
            <w:right w:val="none" w:sz="0" w:space="0" w:color="auto"/>
          </w:divBdr>
          <w:divsChild>
            <w:div w:id="386346678">
              <w:marLeft w:val="0"/>
              <w:marRight w:val="0"/>
              <w:marTop w:val="0"/>
              <w:marBottom w:val="0"/>
              <w:divBdr>
                <w:top w:val="none" w:sz="0" w:space="0" w:color="auto"/>
                <w:left w:val="none" w:sz="0" w:space="0" w:color="auto"/>
                <w:bottom w:val="none" w:sz="0" w:space="0" w:color="auto"/>
                <w:right w:val="none" w:sz="0" w:space="0" w:color="auto"/>
              </w:divBdr>
              <w:divsChild>
                <w:div w:id="11955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1056">
          <w:marLeft w:val="0"/>
          <w:marRight w:val="0"/>
          <w:marTop w:val="0"/>
          <w:marBottom w:val="0"/>
          <w:divBdr>
            <w:top w:val="none" w:sz="0" w:space="0" w:color="auto"/>
            <w:left w:val="none" w:sz="0" w:space="0" w:color="auto"/>
            <w:bottom w:val="none" w:sz="0" w:space="0" w:color="auto"/>
            <w:right w:val="none" w:sz="0" w:space="0" w:color="auto"/>
          </w:divBdr>
          <w:divsChild>
            <w:div w:id="562449106">
              <w:marLeft w:val="0"/>
              <w:marRight w:val="0"/>
              <w:marTop w:val="0"/>
              <w:marBottom w:val="0"/>
              <w:divBdr>
                <w:top w:val="none" w:sz="0" w:space="0" w:color="auto"/>
                <w:left w:val="none" w:sz="0" w:space="0" w:color="auto"/>
                <w:bottom w:val="none" w:sz="0" w:space="0" w:color="auto"/>
                <w:right w:val="none" w:sz="0" w:space="0" w:color="auto"/>
              </w:divBdr>
              <w:divsChild>
                <w:div w:id="1209143198">
                  <w:marLeft w:val="0"/>
                  <w:marRight w:val="0"/>
                  <w:marTop w:val="0"/>
                  <w:marBottom w:val="0"/>
                  <w:divBdr>
                    <w:top w:val="none" w:sz="0" w:space="0" w:color="auto"/>
                    <w:left w:val="none" w:sz="0" w:space="0" w:color="auto"/>
                    <w:bottom w:val="none" w:sz="0" w:space="0" w:color="auto"/>
                    <w:right w:val="none" w:sz="0" w:space="0" w:color="auto"/>
                  </w:divBdr>
                </w:div>
                <w:div w:id="731080855">
                  <w:marLeft w:val="0"/>
                  <w:marRight w:val="0"/>
                  <w:marTop w:val="0"/>
                  <w:marBottom w:val="0"/>
                  <w:divBdr>
                    <w:top w:val="none" w:sz="0" w:space="0" w:color="auto"/>
                    <w:left w:val="none" w:sz="0" w:space="0" w:color="auto"/>
                    <w:bottom w:val="none" w:sz="0" w:space="0" w:color="auto"/>
                    <w:right w:val="none" w:sz="0" w:space="0" w:color="auto"/>
                  </w:divBdr>
                </w:div>
                <w:div w:id="15354072">
                  <w:marLeft w:val="0"/>
                  <w:marRight w:val="0"/>
                  <w:marTop w:val="0"/>
                  <w:marBottom w:val="0"/>
                  <w:divBdr>
                    <w:top w:val="none" w:sz="0" w:space="0" w:color="auto"/>
                    <w:left w:val="none" w:sz="0" w:space="0" w:color="auto"/>
                    <w:bottom w:val="none" w:sz="0" w:space="0" w:color="auto"/>
                    <w:right w:val="none" w:sz="0" w:space="0" w:color="auto"/>
                  </w:divBdr>
                </w:div>
                <w:div w:id="437022726">
                  <w:marLeft w:val="0"/>
                  <w:marRight w:val="0"/>
                  <w:marTop w:val="0"/>
                  <w:marBottom w:val="0"/>
                  <w:divBdr>
                    <w:top w:val="none" w:sz="0" w:space="0" w:color="auto"/>
                    <w:left w:val="none" w:sz="0" w:space="0" w:color="auto"/>
                    <w:bottom w:val="none" w:sz="0" w:space="0" w:color="auto"/>
                    <w:right w:val="none" w:sz="0" w:space="0" w:color="auto"/>
                  </w:divBdr>
                </w:div>
                <w:div w:id="1208372411">
                  <w:marLeft w:val="0"/>
                  <w:marRight w:val="0"/>
                  <w:marTop w:val="0"/>
                  <w:marBottom w:val="0"/>
                  <w:divBdr>
                    <w:top w:val="none" w:sz="0" w:space="0" w:color="auto"/>
                    <w:left w:val="none" w:sz="0" w:space="0" w:color="auto"/>
                    <w:bottom w:val="none" w:sz="0" w:space="0" w:color="auto"/>
                    <w:right w:val="none" w:sz="0" w:space="0" w:color="auto"/>
                  </w:divBdr>
                </w:div>
                <w:div w:id="1076710936">
                  <w:marLeft w:val="0"/>
                  <w:marRight w:val="0"/>
                  <w:marTop w:val="0"/>
                  <w:marBottom w:val="0"/>
                  <w:divBdr>
                    <w:top w:val="none" w:sz="0" w:space="0" w:color="auto"/>
                    <w:left w:val="none" w:sz="0" w:space="0" w:color="auto"/>
                    <w:bottom w:val="none" w:sz="0" w:space="0" w:color="auto"/>
                    <w:right w:val="none" w:sz="0" w:space="0" w:color="auto"/>
                  </w:divBdr>
                </w:div>
                <w:div w:id="472063271">
                  <w:marLeft w:val="0"/>
                  <w:marRight w:val="0"/>
                  <w:marTop w:val="0"/>
                  <w:marBottom w:val="0"/>
                  <w:divBdr>
                    <w:top w:val="none" w:sz="0" w:space="0" w:color="auto"/>
                    <w:left w:val="none" w:sz="0" w:space="0" w:color="auto"/>
                    <w:bottom w:val="none" w:sz="0" w:space="0" w:color="auto"/>
                    <w:right w:val="none" w:sz="0" w:space="0" w:color="auto"/>
                  </w:divBdr>
                </w:div>
                <w:div w:id="2119830794">
                  <w:marLeft w:val="0"/>
                  <w:marRight w:val="0"/>
                  <w:marTop w:val="0"/>
                  <w:marBottom w:val="0"/>
                  <w:divBdr>
                    <w:top w:val="none" w:sz="0" w:space="0" w:color="auto"/>
                    <w:left w:val="none" w:sz="0" w:space="0" w:color="auto"/>
                    <w:bottom w:val="none" w:sz="0" w:space="0" w:color="auto"/>
                    <w:right w:val="none" w:sz="0" w:space="0" w:color="auto"/>
                  </w:divBdr>
                </w:div>
                <w:div w:id="1382513810">
                  <w:marLeft w:val="0"/>
                  <w:marRight w:val="0"/>
                  <w:marTop w:val="0"/>
                  <w:marBottom w:val="0"/>
                  <w:divBdr>
                    <w:top w:val="none" w:sz="0" w:space="0" w:color="auto"/>
                    <w:left w:val="none" w:sz="0" w:space="0" w:color="auto"/>
                    <w:bottom w:val="none" w:sz="0" w:space="0" w:color="auto"/>
                    <w:right w:val="none" w:sz="0" w:space="0" w:color="auto"/>
                  </w:divBdr>
                </w:div>
                <w:div w:id="415713434">
                  <w:marLeft w:val="0"/>
                  <w:marRight w:val="0"/>
                  <w:marTop w:val="0"/>
                  <w:marBottom w:val="0"/>
                  <w:divBdr>
                    <w:top w:val="none" w:sz="0" w:space="0" w:color="auto"/>
                    <w:left w:val="none" w:sz="0" w:space="0" w:color="auto"/>
                    <w:bottom w:val="none" w:sz="0" w:space="0" w:color="auto"/>
                    <w:right w:val="none" w:sz="0" w:space="0" w:color="auto"/>
                  </w:divBdr>
                </w:div>
                <w:div w:id="1346858684">
                  <w:marLeft w:val="0"/>
                  <w:marRight w:val="0"/>
                  <w:marTop w:val="0"/>
                  <w:marBottom w:val="0"/>
                  <w:divBdr>
                    <w:top w:val="none" w:sz="0" w:space="0" w:color="auto"/>
                    <w:left w:val="none" w:sz="0" w:space="0" w:color="auto"/>
                    <w:bottom w:val="none" w:sz="0" w:space="0" w:color="auto"/>
                    <w:right w:val="none" w:sz="0" w:space="0" w:color="auto"/>
                  </w:divBdr>
                </w:div>
                <w:div w:id="1199775693">
                  <w:marLeft w:val="0"/>
                  <w:marRight w:val="0"/>
                  <w:marTop w:val="0"/>
                  <w:marBottom w:val="0"/>
                  <w:divBdr>
                    <w:top w:val="none" w:sz="0" w:space="0" w:color="auto"/>
                    <w:left w:val="none" w:sz="0" w:space="0" w:color="auto"/>
                    <w:bottom w:val="none" w:sz="0" w:space="0" w:color="auto"/>
                    <w:right w:val="none" w:sz="0" w:space="0" w:color="auto"/>
                  </w:divBdr>
                </w:div>
                <w:div w:id="1279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Mardones</dc:creator>
  <cp:keywords/>
  <dc:description/>
  <cp:lastModifiedBy>ALVARO</cp:lastModifiedBy>
  <cp:revision>2</cp:revision>
  <dcterms:created xsi:type="dcterms:W3CDTF">2021-04-14T18:41:00Z</dcterms:created>
  <dcterms:modified xsi:type="dcterms:W3CDTF">2021-04-14T18:41:00Z</dcterms:modified>
</cp:coreProperties>
</file>