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9C" w:rsidRDefault="0091429C" w:rsidP="0091429C">
      <w:pPr>
        <w:spacing w:after="120" w:line="360" w:lineRule="auto"/>
        <w:ind w:right="-284"/>
        <w:jc w:val="both"/>
        <w:rPr>
          <w:rFonts w:ascii="Tahoma" w:hAnsi="Tahoma" w:cs="Tahoma"/>
          <w:b/>
          <w:sz w:val="24"/>
          <w:szCs w:val="24"/>
        </w:rPr>
      </w:pPr>
    </w:p>
    <w:p w:rsidR="0091429C" w:rsidRDefault="0091429C" w:rsidP="0091429C">
      <w:pPr>
        <w:spacing w:after="120" w:line="360" w:lineRule="auto"/>
        <w:ind w:right="-284"/>
        <w:jc w:val="both"/>
        <w:rPr>
          <w:rFonts w:ascii="Tahoma" w:hAnsi="Tahoma" w:cs="Tahoma"/>
          <w:b/>
          <w:sz w:val="24"/>
          <w:szCs w:val="24"/>
        </w:rPr>
      </w:pPr>
      <w:r w:rsidRPr="0091429C">
        <w:rPr>
          <w:rFonts w:ascii="Tahoma" w:hAnsi="Tahoma" w:cs="Tahoma"/>
          <w:b/>
          <w:sz w:val="24"/>
          <w:szCs w:val="24"/>
        </w:rPr>
        <w:t>Modifica la ley N°16.282, que Establece disposiciones permanentes para casos de sismos y catástrofes, para aumentar las penas aplicables a quienes incurran en los delitos en ella contemplados, relativos al incremento de precios de bienes y artículos de primera necesidad, por sobre el precio oficial, y establece criterios para la determinación de tal precio</w:t>
      </w:r>
    </w:p>
    <w:p w:rsidR="0091429C" w:rsidRDefault="0091429C" w:rsidP="0091429C">
      <w:pPr>
        <w:spacing w:after="120" w:line="360" w:lineRule="auto"/>
        <w:ind w:right="-284"/>
        <w:jc w:val="both"/>
        <w:rPr>
          <w:rFonts w:ascii="Tahoma" w:hAnsi="Tahoma" w:cs="Tahoma"/>
          <w:b/>
          <w:sz w:val="24"/>
          <w:szCs w:val="24"/>
        </w:rPr>
      </w:pPr>
    </w:p>
    <w:p w:rsidR="00C9607B" w:rsidRDefault="0091429C" w:rsidP="0091429C">
      <w:pPr>
        <w:spacing w:after="120" w:line="360" w:lineRule="auto"/>
        <w:ind w:right="-284"/>
        <w:jc w:val="center"/>
        <w:rPr>
          <w:rFonts w:ascii="Tahoma" w:hAnsi="Tahoma" w:cs="Tahoma"/>
          <w:b/>
          <w:sz w:val="24"/>
          <w:szCs w:val="24"/>
        </w:rPr>
      </w:pPr>
      <w:r w:rsidRPr="0091429C">
        <w:rPr>
          <w:rFonts w:ascii="Tahoma" w:hAnsi="Tahoma" w:cs="Tahoma"/>
          <w:b/>
          <w:sz w:val="24"/>
          <w:szCs w:val="24"/>
        </w:rPr>
        <w:t>Boletín N° 13432-07</w:t>
      </w:r>
    </w:p>
    <w:p w:rsidR="0091429C" w:rsidRPr="00C9607B" w:rsidRDefault="0091429C" w:rsidP="0091429C">
      <w:pPr>
        <w:spacing w:after="120" w:line="360" w:lineRule="auto"/>
        <w:ind w:right="-284"/>
        <w:rPr>
          <w:rFonts w:ascii="Tahoma" w:hAnsi="Tahoma" w:cs="Tahoma"/>
          <w:b/>
          <w:sz w:val="24"/>
          <w:szCs w:val="24"/>
          <w:u w:val="single"/>
        </w:rPr>
      </w:pPr>
    </w:p>
    <w:p w:rsidR="00C9607B" w:rsidRPr="00C9607B" w:rsidRDefault="00C9607B" w:rsidP="0091429C">
      <w:pPr>
        <w:spacing w:line="360" w:lineRule="auto"/>
        <w:ind w:right="-285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C9607B">
        <w:rPr>
          <w:rFonts w:ascii="Tahoma" w:hAnsi="Tahoma" w:cs="Tahoma"/>
          <w:b/>
          <w:sz w:val="24"/>
          <w:szCs w:val="24"/>
          <w:u w:val="single"/>
        </w:rPr>
        <w:t>Fundamentos:</w:t>
      </w:r>
    </w:p>
    <w:p w:rsidR="00C9607B" w:rsidRDefault="00C9607B" w:rsidP="0091429C">
      <w:pPr>
        <w:spacing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 w:rsidRPr="00C9607B">
        <w:rPr>
          <w:rFonts w:ascii="Tahoma" w:hAnsi="Tahoma" w:cs="Tahoma"/>
          <w:b/>
          <w:bCs/>
          <w:sz w:val="24"/>
          <w:szCs w:val="24"/>
        </w:rPr>
        <w:t>1.-</w:t>
      </w:r>
      <w:r w:rsidRPr="00C9607B">
        <w:rPr>
          <w:rFonts w:ascii="Tahoma" w:hAnsi="Tahoma" w:cs="Tahoma"/>
          <w:sz w:val="24"/>
          <w:szCs w:val="24"/>
        </w:rPr>
        <w:t xml:space="preserve"> </w:t>
      </w:r>
      <w:r w:rsidR="00D807D8">
        <w:rPr>
          <w:rFonts w:ascii="Tahoma" w:hAnsi="Tahoma" w:cs="Tahoma"/>
          <w:sz w:val="24"/>
          <w:szCs w:val="24"/>
        </w:rPr>
        <w:t xml:space="preserve">La pandemia del Covid-19 se nos presenta como una amenaza cierta para la salud y vida de la humanidad en su totalidad, sin discriminar etnia, religión, territorio ni capacidad económica. A la fecha hemos de lamentar decenas de miles de fallecidos como consecuencia de esta terrible enfermedad, siendo los países más afectados España, Italia, China, Estado Unidos e Irán. </w:t>
      </w:r>
    </w:p>
    <w:p w:rsidR="00343B5C" w:rsidRDefault="00D807D8" w:rsidP="0091429C">
      <w:pPr>
        <w:spacing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2.- </w:t>
      </w:r>
      <w:r>
        <w:rPr>
          <w:rFonts w:ascii="Tahoma" w:hAnsi="Tahoma" w:cs="Tahoma"/>
          <w:sz w:val="24"/>
          <w:szCs w:val="24"/>
        </w:rPr>
        <w:t xml:space="preserve">Nuestro país no ha estado ajeno a esta desgracia, teniendo lamentables consecuencias para la vida de nuestros ciudadanos, afectando la salud de la población, estilo de vida de nuestros compatriotas y la economía de nuestra nación, tanto en niveles micros como macros. El gobierno ha impulsado un paquete de medidas económicas que, a todas luces, son insuficientes para enfrentar la crisis económica que se pronostica. Ante ese escenario, el aumento considerable del desempleo y la incertidumbre sobre futuros escenarios, ha </w:t>
      </w:r>
      <w:r w:rsidR="0091429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habido inescrupulosos, quienes, sin justificación alguna, han comenzado a especular con el precio de ciertos bienes de primera necesidad, afectando directamente los bolsillos</w:t>
      </w:r>
      <w:r w:rsidR="00343B5C">
        <w:rPr>
          <w:rFonts w:ascii="Tahoma" w:hAnsi="Tahoma" w:cs="Tahoma"/>
          <w:sz w:val="24"/>
          <w:szCs w:val="24"/>
        </w:rPr>
        <w:t xml:space="preserve"> de las personas con menos recursos.</w:t>
      </w:r>
    </w:p>
    <w:p w:rsidR="00D807D8" w:rsidRDefault="00343B5C" w:rsidP="0091429C">
      <w:pPr>
        <w:spacing w:line="360" w:lineRule="auto"/>
        <w:ind w:right="-285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3.- </w:t>
      </w:r>
      <w:r>
        <w:rPr>
          <w:rFonts w:ascii="Tahoma" w:hAnsi="Tahoma" w:cs="Tahoma"/>
          <w:sz w:val="24"/>
          <w:szCs w:val="24"/>
        </w:rPr>
        <w:t xml:space="preserve">Bajo ese orden de cosas, la moción propuesta pretende establecer un límite a dicha conducta reprochable, teniendo como base la legislación vigente en </w:t>
      </w:r>
      <w:r w:rsidR="0091429C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lastRenderedPageBreak/>
        <w:t>materia de precios de productos básicos durante estados de catástrofes, esto es, la ley 16.282,</w:t>
      </w:r>
      <w:r w:rsidRPr="00343B5C">
        <w:rPr>
          <w:rFonts w:ascii="Tahoma" w:hAnsi="Tahoma" w:cs="Tahoma"/>
          <w:bCs/>
          <w:sz w:val="24"/>
          <w:szCs w:val="24"/>
        </w:rPr>
        <w:t xml:space="preserve"> que establece disposiciones permanentes para casos de sismos y catástrofes, cuyo texto refundido, coordinado y sistematizado se contiene en el decreto 104 del año 1977 del </w:t>
      </w:r>
      <w:r>
        <w:rPr>
          <w:rFonts w:ascii="Tahoma" w:hAnsi="Tahoma" w:cs="Tahoma"/>
          <w:bCs/>
          <w:sz w:val="24"/>
          <w:szCs w:val="24"/>
        </w:rPr>
        <w:t>M</w:t>
      </w:r>
      <w:r w:rsidRPr="00343B5C">
        <w:rPr>
          <w:rFonts w:ascii="Tahoma" w:hAnsi="Tahoma" w:cs="Tahoma"/>
          <w:bCs/>
          <w:sz w:val="24"/>
          <w:szCs w:val="24"/>
        </w:rPr>
        <w:t xml:space="preserve">inisterio del </w:t>
      </w:r>
      <w:r>
        <w:rPr>
          <w:rFonts w:ascii="Tahoma" w:hAnsi="Tahoma" w:cs="Tahoma"/>
          <w:bCs/>
          <w:sz w:val="24"/>
          <w:szCs w:val="24"/>
        </w:rPr>
        <w:t>I</w:t>
      </w:r>
      <w:r w:rsidRPr="00343B5C">
        <w:rPr>
          <w:rFonts w:ascii="Tahoma" w:hAnsi="Tahoma" w:cs="Tahoma"/>
          <w:bCs/>
          <w:sz w:val="24"/>
          <w:szCs w:val="24"/>
        </w:rPr>
        <w:t>nterior</w:t>
      </w:r>
      <w:r>
        <w:rPr>
          <w:rFonts w:ascii="Tahoma" w:hAnsi="Tahoma" w:cs="Tahoma"/>
          <w:bCs/>
          <w:sz w:val="24"/>
          <w:szCs w:val="24"/>
        </w:rPr>
        <w:t xml:space="preserve">. En dicha norma, se sanciona a quienes se nieguen a vender productos de primera necesidad durante períodos de catástrofes o sismos, y también a quienes incrementen sus precios a valores superiores a los oficiales, vendan productos alterados en su calidad, entre otras cosas. Pues bien, dicha norma no establece, de manera clara, qué debemos entender por “precios superiores a los oficiales”, por lo cual se propone una interpretación de la norma, apoyándonos en la institucionalidad vigente, en específico, en la medición de precios que hace el Instituto Nacional de </w:t>
      </w:r>
      <w:r w:rsidR="0091429C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Estadísticas (INE), a través de su medición mensual del Índice de Precios al Consumidor (IPC).</w:t>
      </w:r>
    </w:p>
    <w:p w:rsidR="00343B5C" w:rsidRDefault="00343B5C" w:rsidP="0091429C">
      <w:pPr>
        <w:spacing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4.- </w:t>
      </w:r>
      <w:r>
        <w:rPr>
          <w:rFonts w:ascii="Tahoma" w:hAnsi="Tahoma" w:cs="Tahoma"/>
          <w:bCs/>
          <w:sz w:val="24"/>
          <w:szCs w:val="24"/>
        </w:rPr>
        <w:t xml:space="preserve">Así, se </w:t>
      </w:r>
      <w:r w:rsidR="008923DB">
        <w:rPr>
          <w:rFonts w:ascii="Tahoma" w:hAnsi="Tahoma" w:cs="Tahoma"/>
          <w:bCs/>
          <w:sz w:val="24"/>
          <w:szCs w:val="24"/>
        </w:rPr>
        <w:t>incurriría</w:t>
      </w:r>
      <w:r>
        <w:rPr>
          <w:rFonts w:ascii="Tahoma" w:hAnsi="Tahoma" w:cs="Tahoma"/>
          <w:bCs/>
          <w:sz w:val="24"/>
          <w:szCs w:val="24"/>
        </w:rPr>
        <w:t xml:space="preserve"> en inobservancia de la presente norma, cuando se ofrezca al público</w:t>
      </w:r>
      <w:r w:rsidR="008923DB">
        <w:rPr>
          <w:rFonts w:ascii="Tahoma" w:hAnsi="Tahoma" w:cs="Tahoma"/>
          <w:bCs/>
          <w:sz w:val="24"/>
          <w:szCs w:val="24"/>
        </w:rPr>
        <w:t>, a un valor muy elevado,</w:t>
      </w:r>
      <w:r>
        <w:rPr>
          <w:rFonts w:ascii="Tahoma" w:hAnsi="Tahoma" w:cs="Tahoma"/>
          <w:bCs/>
          <w:sz w:val="24"/>
          <w:szCs w:val="24"/>
        </w:rPr>
        <w:t xml:space="preserve"> los productos señalados al inciso primero del artículo 5° (alimentos, vestuario, herramientas, medicinas, etc.), agregando además a aquellos bienes que no se contemplan pero que forman parte de la canasta básica familiar</w:t>
      </w:r>
      <w:r w:rsidR="008923DB">
        <w:rPr>
          <w:rFonts w:ascii="Tahoma" w:hAnsi="Tahoma" w:cs="Tahoma"/>
          <w:bCs/>
          <w:sz w:val="24"/>
          <w:szCs w:val="24"/>
        </w:rPr>
        <w:t xml:space="preserve">, los cuales son utilizados por el INE al momento de determinar el IPC mensual y anual.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8923DB">
        <w:rPr>
          <w:rFonts w:ascii="Tahoma" w:hAnsi="Tahoma" w:cs="Tahoma"/>
          <w:bCs/>
          <w:sz w:val="24"/>
          <w:szCs w:val="24"/>
        </w:rPr>
        <w:t xml:space="preserve">Se entenderá que </w:t>
      </w:r>
      <w:r w:rsidR="008923DB" w:rsidRPr="008923DB">
        <w:rPr>
          <w:rFonts w:ascii="Tahoma" w:hAnsi="Tahoma" w:cs="Tahoma"/>
          <w:sz w:val="24"/>
          <w:szCs w:val="24"/>
        </w:rPr>
        <w:t>un determinado producto se vende a un precio superior a los oficiales, cuando es ofrecido al público incrementado su valor en más de la mitad del precio registrado por el Índice de Precios al Consumidor, en el mes anterior a la fecha del decreto a que hace mención el artículo 1° de esta ley.</w:t>
      </w:r>
      <w:r w:rsidR="008923DB">
        <w:rPr>
          <w:rFonts w:ascii="Tahoma" w:hAnsi="Tahoma" w:cs="Tahoma"/>
          <w:sz w:val="24"/>
          <w:szCs w:val="24"/>
        </w:rPr>
        <w:t xml:space="preserve"> En otras palabras, y a modo de ejemplo, si un kilogramo de pan se vendía a $1.000 como promedio, durante el mes de febrero, y su valor se incrementa a $1.501, durante el mes de marzo (mes que se decretó el estado de excepción constitucional de catástrofe), el vendedor debería ser sancionado según aquí se señala</w:t>
      </w:r>
      <w:r w:rsidR="00CC3AA3">
        <w:rPr>
          <w:rFonts w:ascii="Tahoma" w:hAnsi="Tahoma" w:cs="Tahoma"/>
          <w:sz w:val="24"/>
          <w:szCs w:val="24"/>
        </w:rPr>
        <w:t xml:space="preserve"> </w:t>
      </w:r>
    </w:p>
    <w:p w:rsidR="008923DB" w:rsidRPr="008923DB" w:rsidRDefault="008923DB" w:rsidP="0091429C">
      <w:pPr>
        <w:spacing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5.- </w:t>
      </w:r>
      <w:r>
        <w:rPr>
          <w:rFonts w:ascii="Tahoma" w:hAnsi="Tahoma" w:cs="Tahoma"/>
          <w:sz w:val="24"/>
          <w:szCs w:val="24"/>
        </w:rPr>
        <w:t xml:space="preserve">Finalmente se propone un incremento en la pena, en comparación a las sanciones que propone la ley para los que se negaren de manera infundada a vender este tipo de productos y bienes. Actualmente la ley establece </w:t>
      </w:r>
      <w:r w:rsidR="00CC3AA3">
        <w:rPr>
          <w:rFonts w:ascii="Tahoma" w:hAnsi="Tahoma" w:cs="Tahoma"/>
          <w:sz w:val="24"/>
          <w:szCs w:val="24"/>
        </w:rPr>
        <w:t>que,</w:t>
      </w:r>
      <w:r>
        <w:rPr>
          <w:rFonts w:ascii="Tahoma" w:hAnsi="Tahoma" w:cs="Tahoma"/>
          <w:sz w:val="24"/>
          <w:szCs w:val="24"/>
        </w:rPr>
        <w:t xml:space="preserve"> en este </w:t>
      </w:r>
      <w:r>
        <w:rPr>
          <w:rFonts w:ascii="Tahoma" w:hAnsi="Tahoma" w:cs="Tahoma"/>
          <w:sz w:val="24"/>
          <w:szCs w:val="24"/>
        </w:rPr>
        <w:lastRenderedPageBreak/>
        <w:t>tipo de casos, se sancionará con presidio menor en su grado mínimo a medio, es decir, desde los 61 días a 3 años y un día</w:t>
      </w:r>
      <w:r w:rsidR="00CC3AA3">
        <w:rPr>
          <w:rFonts w:ascii="Tahoma" w:hAnsi="Tahoma" w:cs="Tahoma"/>
          <w:sz w:val="24"/>
          <w:szCs w:val="24"/>
        </w:rPr>
        <w:t xml:space="preserve">. Para el caso de venta a un precio superior se propone aumentar la pena en un grado, esto es, desde un grado medio a máximo, es decir, hasta 5 años, dependiendo de la gravedad en el actuar cometido. Consideramos sumamente reprochable la actitud de ciertas personas, sean pequeños o grandes comerciantes, que aprovechan la conmoción social </w:t>
      </w:r>
      <w:r w:rsidR="0091429C">
        <w:rPr>
          <w:rFonts w:ascii="Tahoma" w:hAnsi="Tahoma" w:cs="Tahoma"/>
          <w:sz w:val="24"/>
          <w:szCs w:val="24"/>
        </w:rPr>
        <w:t xml:space="preserve">  </w:t>
      </w:r>
      <w:r w:rsidR="00CC3AA3">
        <w:rPr>
          <w:rFonts w:ascii="Tahoma" w:hAnsi="Tahoma" w:cs="Tahoma"/>
          <w:sz w:val="24"/>
          <w:szCs w:val="24"/>
        </w:rPr>
        <w:t xml:space="preserve">para aumentar de manera considerable los precios de productos y bienes de primera necesidad, sin tener en ello un fundamento de base que justifique dicha situación, toda vez que la demanda no aumenta y los bienes no escasean. La propia autoridad ha señalado que la cadena de abastecimiento está resguardada </w:t>
      </w:r>
      <w:r w:rsidR="0091429C">
        <w:rPr>
          <w:rFonts w:ascii="Tahoma" w:hAnsi="Tahoma" w:cs="Tahoma"/>
          <w:sz w:val="24"/>
          <w:szCs w:val="24"/>
        </w:rPr>
        <w:t xml:space="preserve"> </w:t>
      </w:r>
      <w:r w:rsidR="00CC3AA3">
        <w:rPr>
          <w:rFonts w:ascii="Tahoma" w:hAnsi="Tahoma" w:cs="Tahoma"/>
          <w:sz w:val="24"/>
          <w:szCs w:val="24"/>
        </w:rPr>
        <w:t xml:space="preserve">y no existe motivo alguno para experimentar un aumento explosivo de este tipo de productos. </w:t>
      </w:r>
    </w:p>
    <w:p w:rsidR="00C9607B" w:rsidRPr="00C9607B" w:rsidRDefault="00C9607B" w:rsidP="0091429C">
      <w:pPr>
        <w:spacing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 w:rsidRPr="00C9607B">
        <w:rPr>
          <w:rFonts w:ascii="Tahoma" w:hAnsi="Tahoma" w:cs="Tahoma"/>
          <w:sz w:val="24"/>
          <w:szCs w:val="24"/>
        </w:rPr>
        <w:t>En consecuencia, las diputadas y diputados firmantes tenemos el honor de someter al conocimiento de la Honorable Cámara de Diputados el siguiente</w:t>
      </w:r>
      <w:r w:rsidR="00265233">
        <w:rPr>
          <w:rFonts w:ascii="Tahoma" w:hAnsi="Tahoma" w:cs="Tahoma"/>
          <w:sz w:val="24"/>
          <w:szCs w:val="24"/>
        </w:rPr>
        <w:t>:</w:t>
      </w:r>
    </w:p>
    <w:p w:rsidR="00C9607B" w:rsidRPr="00C9607B" w:rsidRDefault="00C9607B" w:rsidP="0091429C">
      <w:pPr>
        <w:spacing w:line="360" w:lineRule="auto"/>
        <w:ind w:right="-285"/>
        <w:jc w:val="center"/>
        <w:rPr>
          <w:rFonts w:ascii="Tahoma" w:hAnsi="Tahoma" w:cs="Tahoma"/>
          <w:b/>
          <w:sz w:val="24"/>
          <w:szCs w:val="24"/>
        </w:rPr>
      </w:pPr>
    </w:p>
    <w:p w:rsidR="00C9607B" w:rsidRPr="00C9607B" w:rsidRDefault="00C9607B" w:rsidP="0091429C">
      <w:pPr>
        <w:spacing w:line="360" w:lineRule="auto"/>
        <w:ind w:right="-285"/>
        <w:jc w:val="center"/>
        <w:rPr>
          <w:rFonts w:ascii="Tahoma" w:hAnsi="Tahoma" w:cs="Tahoma"/>
          <w:b/>
          <w:sz w:val="24"/>
          <w:szCs w:val="24"/>
        </w:rPr>
      </w:pPr>
      <w:r w:rsidRPr="00C9607B">
        <w:rPr>
          <w:rFonts w:ascii="Tahoma" w:hAnsi="Tahoma" w:cs="Tahoma"/>
          <w:b/>
          <w:sz w:val="24"/>
          <w:szCs w:val="24"/>
        </w:rPr>
        <w:t>PROYECTO DE LEY</w:t>
      </w:r>
    </w:p>
    <w:p w:rsidR="00C9607B" w:rsidRPr="00C9607B" w:rsidRDefault="00C9607B" w:rsidP="0091429C">
      <w:pPr>
        <w:spacing w:line="360" w:lineRule="auto"/>
        <w:ind w:right="-285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3F6AAC" w:rsidRDefault="00C9607B" w:rsidP="0091429C">
      <w:pPr>
        <w:spacing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 w:rsidRPr="00C9607B">
        <w:rPr>
          <w:rFonts w:ascii="Tahoma" w:hAnsi="Tahoma" w:cs="Tahoma"/>
          <w:b/>
          <w:color w:val="000000" w:themeColor="text1"/>
          <w:sz w:val="24"/>
          <w:szCs w:val="24"/>
        </w:rPr>
        <w:t>ARTÍCULO PRIMERO</w:t>
      </w:r>
      <w:r w:rsidRPr="00C9607B">
        <w:rPr>
          <w:rFonts w:ascii="Tahoma" w:hAnsi="Tahoma" w:cs="Tahoma"/>
          <w:b/>
          <w:sz w:val="24"/>
          <w:szCs w:val="24"/>
        </w:rPr>
        <w:t>:</w:t>
      </w:r>
      <w:r w:rsidRPr="00C9607B">
        <w:rPr>
          <w:rFonts w:ascii="Tahoma" w:hAnsi="Tahoma" w:cs="Tahoma"/>
          <w:sz w:val="24"/>
          <w:szCs w:val="24"/>
        </w:rPr>
        <w:t xml:space="preserve"> Mod</w:t>
      </w:r>
      <w:r w:rsidR="00A8552D" w:rsidRPr="00A8552D">
        <w:rPr>
          <w:rFonts w:ascii="Tahoma" w:hAnsi="Tahoma" w:cs="Tahoma"/>
          <w:sz w:val="24"/>
          <w:szCs w:val="24"/>
        </w:rPr>
        <w:t xml:space="preserve">ifíquese la ley 16.282 que establece disposiciones permanentes para casos de sismos y catástrofes, cuyo texto refundido, </w:t>
      </w:r>
      <w:r w:rsidR="0091429C">
        <w:rPr>
          <w:rFonts w:ascii="Tahoma" w:hAnsi="Tahoma" w:cs="Tahoma"/>
          <w:sz w:val="24"/>
          <w:szCs w:val="24"/>
        </w:rPr>
        <w:t xml:space="preserve"> </w:t>
      </w:r>
      <w:r w:rsidR="00A8552D" w:rsidRPr="00A8552D">
        <w:rPr>
          <w:rFonts w:ascii="Tahoma" w:hAnsi="Tahoma" w:cs="Tahoma"/>
          <w:sz w:val="24"/>
          <w:szCs w:val="24"/>
        </w:rPr>
        <w:t>coordinado y sistematizado se contiene en el decreto 104 del año 1977 del ministerio del interior</w:t>
      </w:r>
      <w:r w:rsidRPr="00C9607B">
        <w:rPr>
          <w:rFonts w:ascii="Tahoma" w:hAnsi="Tahoma" w:cs="Tahoma"/>
          <w:sz w:val="24"/>
          <w:szCs w:val="24"/>
        </w:rPr>
        <w:t xml:space="preserve">, </w:t>
      </w:r>
      <w:r w:rsidR="0071168F">
        <w:rPr>
          <w:rFonts w:ascii="Tahoma" w:hAnsi="Tahoma" w:cs="Tahoma"/>
          <w:sz w:val="24"/>
          <w:szCs w:val="24"/>
        </w:rPr>
        <w:t>específicamente en el</w:t>
      </w:r>
      <w:r w:rsidR="00A8552D">
        <w:rPr>
          <w:rFonts w:ascii="Tahoma" w:hAnsi="Tahoma" w:cs="Tahoma"/>
          <w:sz w:val="24"/>
          <w:szCs w:val="24"/>
        </w:rPr>
        <w:t xml:space="preserve"> inciso segundo</w:t>
      </w:r>
      <w:r w:rsidR="003F6AAC">
        <w:rPr>
          <w:rFonts w:ascii="Tahoma" w:hAnsi="Tahoma" w:cs="Tahoma"/>
          <w:sz w:val="24"/>
          <w:szCs w:val="24"/>
        </w:rPr>
        <w:t xml:space="preserve"> de su artículo 5°</w:t>
      </w:r>
      <w:r w:rsidR="00A8552D">
        <w:rPr>
          <w:rFonts w:ascii="Tahoma" w:hAnsi="Tahoma" w:cs="Tahoma"/>
          <w:sz w:val="24"/>
          <w:szCs w:val="24"/>
        </w:rPr>
        <w:t xml:space="preserve">, </w:t>
      </w:r>
      <w:r w:rsidR="0071168F">
        <w:rPr>
          <w:rFonts w:ascii="Tahoma" w:hAnsi="Tahoma" w:cs="Tahoma"/>
          <w:sz w:val="24"/>
          <w:szCs w:val="24"/>
        </w:rPr>
        <w:t>de la manera que se señala a continuación</w:t>
      </w:r>
      <w:r w:rsidRPr="00C9607B">
        <w:rPr>
          <w:rFonts w:ascii="Tahoma" w:hAnsi="Tahoma" w:cs="Tahoma"/>
          <w:sz w:val="24"/>
          <w:szCs w:val="24"/>
        </w:rPr>
        <w:t xml:space="preserve">: </w:t>
      </w:r>
    </w:p>
    <w:p w:rsidR="0071168F" w:rsidRDefault="0071168F" w:rsidP="0091429C">
      <w:pPr>
        <w:spacing w:line="360" w:lineRule="auto"/>
        <w:ind w:right="-285"/>
        <w:jc w:val="both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1.- Reemplazase la frase “</w:t>
      </w:r>
      <w:r>
        <w:rPr>
          <w:rFonts w:ascii="Tahoma" w:hAnsi="Tahoma" w:cs="Tahoma"/>
          <w:i/>
          <w:iCs/>
          <w:sz w:val="24"/>
          <w:szCs w:val="24"/>
        </w:rPr>
        <w:t>En la misma pena incurrirán quienes</w:t>
      </w:r>
      <w:r w:rsidR="00634610">
        <w:rPr>
          <w:rFonts w:ascii="Tahoma" w:hAnsi="Tahoma" w:cs="Tahoma"/>
          <w:i/>
          <w:iCs/>
          <w:sz w:val="24"/>
          <w:szCs w:val="24"/>
        </w:rPr>
        <w:t>”,</w:t>
      </w:r>
      <w:r>
        <w:rPr>
          <w:rFonts w:ascii="Tahoma" w:hAnsi="Tahoma" w:cs="Tahoma"/>
          <w:sz w:val="24"/>
          <w:szCs w:val="24"/>
        </w:rPr>
        <w:t xml:space="preserve"> por la siguiente frase: </w:t>
      </w:r>
      <w:r w:rsidRPr="00634610">
        <w:rPr>
          <w:rFonts w:ascii="Tahoma" w:hAnsi="Tahoma" w:cs="Tahoma"/>
          <w:b/>
          <w:bCs/>
          <w:i/>
          <w:iCs/>
          <w:sz w:val="24"/>
          <w:szCs w:val="24"/>
        </w:rPr>
        <w:t>“Se aplicará la misma pena señalada en el inciso anterior, aumentada en un grado, a quienes”.</w:t>
      </w:r>
    </w:p>
    <w:p w:rsidR="0071168F" w:rsidRDefault="0071168F" w:rsidP="0091429C">
      <w:pPr>
        <w:spacing w:line="360" w:lineRule="auto"/>
        <w:ind w:right="-285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2.- Agréguese entre las frases </w:t>
      </w:r>
      <w:r w:rsidRPr="0071168F">
        <w:rPr>
          <w:rFonts w:ascii="Tahoma" w:hAnsi="Tahoma" w:cs="Tahoma"/>
          <w:i/>
          <w:iCs/>
          <w:sz w:val="24"/>
          <w:szCs w:val="24"/>
        </w:rPr>
        <w:t xml:space="preserve">“vendan los artículos a que se </w:t>
      </w:r>
      <w:r w:rsidRPr="0071168F">
        <w:rPr>
          <w:rFonts w:ascii="Tahoma" w:hAnsi="Tahoma" w:cs="Tahoma"/>
          <w:i/>
          <w:iCs/>
          <w:sz w:val="24"/>
          <w:szCs w:val="24"/>
        </w:rPr>
        <w:br/>
        <w:t>refiere el inciso anterior</w:t>
      </w:r>
      <w:r>
        <w:rPr>
          <w:rFonts w:ascii="Tahoma" w:hAnsi="Tahoma" w:cs="Tahoma"/>
          <w:i/>
          <w:iCs/>
          <w:sz w:val="24"/>
          <w:szCs w:val="24"/>
        </w:rPr>
        <w:t xml:space="preserve">” </w:t>
      </w:r>
      <w:r w:rsidR="00634610">
        <w:rPr>
          <w:rFonts w:ascii="Tahoma" w:hAnsi="Tahoma" w:cs="Tahoma"/>
          <w:sz w:val="24"/>
          <w:szCs w:val="24"/>
        </w:rPr>
        <w:t>y la frase</w:t>
      </w:r>
      <w:r w:rsidRPr="0071168F">
        <w:rPr>
          <w:rFonts w:ascii="Tahoma" w:hAnsi="Tahoma" w:cs="Tahoma"/>
          <w:i/>
          <w:iCs/>
          <w:sz w:val="24"/>
          <w:szCs w:val="24"/>
        </w:rPr>
        <w:t xml:space="preserve"> </w:t>
      </w:r>
      <w:r>
        <w:rPr>
          <w:rFonts w:ascii="Tahoma" w:hAnsi="Tahoma" w:cs="Tahoma"/>
          <w:i/>
          <w:iCs/>
          <w:sz w:val="24"/>
          <w:szCs w:val="24"/>
        </w:rPr>
        <w:t>“</w:t>
      </w:r>
      <w:r w:rsidRPr="0071168F">
        <w:rPr>
          <w:rFonts w:ascii="Tahoma" w:hAnsi="Tahoma" w:cs="Tahoma"/>
          <w:i/>
          <w:iCs/>
          <w:sz w:val="24"/>
          <w:szCs w:val="24"/>
        </w:rPr>
        <w:t xml:space="preserve">a precios superiores </w:t>
      </w:r>
      <w:r w:rsidRPr="0071168F">
        <w:rPr>
          <w:rFonts w:ascii="Tahoma" w:hAnsi="Tahoma" w:cs="Tahoma"/>
          <w:i/>
          <w:iCs/>
          <w:sz w:val="24"/>
          <w:szCs w:val="24"/>
        </w:rPr>
        <w:br/>
      </w:r>
      <w:r w:rsidRPr="0071168F">
        <w:rPr>
          <w:rFonts w:ascii="Tahoma" w:hAnsi="Tahoma" w:cs="Tahoma"/>
          <w:i/>
          <w:iCs/>
          <w:sz w:val="24"/>
          <w:szCs w:val="24"/>
        </w:rPr>
        <w:lastRenderedPageBreak/>
        <w:t>a los oficiales o con engaño en la calidad</w:t>
      </w:r>
      <w:r w:rsidR="00634610">
        <w:rPr>
          <w:rFonts w:ascii="Tahoma" w:hAnsi="Tahoma" w:cs="Tahoma"/>
          <w:i/>
          <w:iCs/>
          <w:sz w:val="24"/>
          <w:szCs w:val="24"/>
        </w:rPr>
        <w:t>”</w:t>
      </w:r>
      <w:r w:rsidR="00634610">
        <w:rPr>
          <w:rFonts w:ascii="Tahoma" w:hAnsi="Tahoma" w:cs="Tahoma"/>
          <w:sz w:val="24"/>
          <w:szCs w:val="24"/>
        </w:rPr>
        <w:t xml:space="preserve">, la siguiente frase: </w:t>
      </w:r>
      <w:r w:rsidR="00634610">
        <w:rPr>
          <w:rFonts w:ascii="Tahoma" w:hAnsi="Tahoma" w:cs="Tahoma"/>
          <w:b/>
          <w:bCs/>
          <w:i/>
          <w:iCs/>
          <w:sz w:val="24"/>
          <w:szCs w:val="24"/>
        </w:rPr>
        <w:t>“, o aquellos que componen la canasta básica familiar</w:t>
      </w:r>
      <w:r w:rsidR="00852C5D">
        <w:rPr>
          <w:rFonts w:ascii="Tahoma" w:hAnsi="Tahoma" w:cs="Tahoma"/>
          <w:b/>
          <w:bCs/>
          <w:i/>
          <w:iCs/>
          <w:sz w:val="24"/>
          <w:szCs w:val="24"/>
        </w:rPr>
        <w:t>,”.</w:t>
      </w:r>
    </w:p>
    <w:p w:rsidR="00852C5D" w:rsidRPr="00852C5D" w:rsidRDefault="00852C5D" w:rsidP="0091429C">
      <w:pPr>
        <w:spacing w:line="360" w:lineRule="auto"/>
        <w:ind w:right="-285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3.- Para agregar, a continuación del punto </w:t>
      </w:r>
      <w:proofErr w:type="gramStart"/>
      <w:r>
        <w:rPr>
          <w:rFonts w:ascii="Tahoma" w:hAnsi="Tahoma" w:cs="Tahoma"/>
          <w:sz w:val="24"/>
          <w:szCs w:val="24"/>
        </w:rPr>
        <w:t>aparte(</w:t>
      </w:r>
      <w:proofErr w:type="gramEnd"/>
      <w:r>
        <w:rPr>
          <w:rFonts w:ascii="Tahoma" w:hAnsi="Tahoma" w:cs="Tahoma"/>
          <w:sz w:val="24"/>
          <w:szCs w:val="24"/>
        </w:rPr>
        <w:t xml:space="preserve">.), que ahora pasa a ser punto seguido, la siguiente frase: </w:t>
      </w:r>
      <w:r>
        <w:rPr>
          <w:rFonts w:ascii="Tahoma" w:hAnsi="Tahoma" w:cs="Tahoma"/>
          <w:b/>
          <w:bCs/>
          <w:i/>
          <w:iCs/>
          <w:sz w:val="24"/>
          <w:szCs w:val="24"/>
        </w:rPr>
        <w:t xml:space="preserve">“Para estos efectos, se entenderá que un determinado producto se vende a un precio superior a los oficiales, cuando es ofrecido </w:t>
      </w:r>
      <w:r w:rsidR="00D751E3">
        <w:rPr>
          <w:rFonts w:ascii="Tahoma" w:hAnsi="Tahoma" w:cs="Tahoma"/>
          <w:b/>
          <w:bCs/>
          <w:i/>
          <w:iCs/>
          <w:sz w:val="24"/>
          <w:szCs w:val="24"/>
        </w:rPr>
        <w:t xml:space="preserve">al público incrementado su valor en más de la mitad del precio registrado por el Índice de Precios al Consumidor, en el mes anterior a la fecha del decreto a que hace mención el artículo 1° de esta ley. </w:t>
      </w:r>
    </w:p>
    <w:p w:rsidR="00C9607B" w:rsidRPr="00C9607B" w:rsidRDefault="003F6AAC" w:rsidP="009142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5"/>
        <w:jc w:val="both"/>
        <w:rPr>
          <w:rFonts w:ascii="Tahoma" w:hAnsi="Tahoma" w:cs="Tahoma"/>
          <w:sz w:val="24"/>
          <w:szCs w:val="24"/>
        </w:rPr>
      </w:pPr>
      <w:r w:rsidRPr="003F6AAC">
        <w:rPr>
          <w:rFonts w:ascii="Courier New" w:eastAsia="Times New Roman" w:hAnsi="Courier New" w:cs="Courier New"/>
          <w:color w:val="666666"/>
          <w:sz w:val="18"/>
          <w:szCs w:val="18"/>
          <w:lang w:eastAsia="es-CL"/>
        </w:rPr>
        <w:br/>
      </w:r>
      <w:r w:rsidR="00C9607B" w:rsidRPr="00C9607B">
        <w:rPr>
          <w:rFonts w:ascii="Tahoma" w:hAnsi="Tahoma" w:cs="Tahoma"/>
          <w:b/>
          <w:bCs/>
          <w:sz w:val="24"/>
          <w:szCs w:val="24"/>
        </w:rPr>
        <w:t xml:space="preserve">Artículo Transitorio: </w:t>
      </w:r>
      <w:r w:rsidR="00C9607B" w:rsidRPr="00C9607B">
        <w:rPr>
          <w:rFonts w:ascii="Tahoma" w:hAnsi="Tahoma" w:cs="Tahoma"/>
          <w:sz w:val="24"/>
          <w:szCs w:val="24"/>
        </w:rPr>
        <w:t xml:space="preserve">La presente ley entrará en vigencia a partir de la fecha de su publicación el Diario Oficial. </w:t>
      </w:r>
    </w:p>
    <w:p w:rsidR="00C9607B" w:rsidRPr="00C9607B" w:rsidRDefault="00C9607B" w:rsidP="0091429C">
      <w:pPr>
        <w:spacing w:after="0" w:line="360" w:lineRule="auto"/>
        <w:ind w:right="-285"/>
        <w:jc w:val="both"/>
        <w:rPr>
          <w:rFonts w:ascii="Tahoma" w:hAnsi="Tahoma" w:cs="Tahoma"/>
          <w:sz w:val="24"/>
          <w:szCs w:val="24"/>
        </w:rPr>
      </w:pPr>
    </w:p>
    <w:p w:rsidR="00C9607B" w:rsidRPr="00C9607B" w:rsidRDefault="00C9607B" w:rsidP="0091429C">
      <w:pPr>
        <w:spacing w:line="360" w:lineRule="auto"/>
        <w:ind w:right="-285"/>
        <w:jc w:val="center"/>
        <w:rPr>
          <w:rFonts w:ascii="Tahoma" w:hAnsi="Tahoma" w:cs="Tahoma"/>
          <w:b/>
          <w:sz w:val="24"/>
          <w:szCs w:val="24"/>
        </w:rPr>
      </w:pPr>
      <w:r w:rsidRPr="00C9607B">
        <w:rPr>
          <w:rFonts w:ascii="Tahoma" w:hAnsi="Tahoma" w:cs="Tahoma"/>
          <w:b/>
          <w:sz w:val="24"/>
          <w:szCs w:val="24"/>
        </w:rPr>
        <w:t>DIPUTADAS Y DIPUTADOS DE LA REPÚBLICA</w:t>
      </w:r>
    </w:p>
    <w:p w:rsidR="00C9607B" w:rsidRPr="00C9607B" w:rsidRDefault="00C9607B" w:rsidP="0091429C">
      <w:pPr>
        <w:spacing w:line="240" w:lineRule="auto"/>
        <w:ind w:right="-285"/>
        <w:rPr>
          <w:sz w:val="24"/>
          <w:szCs w:val="24"/>
        </w:rPr>
      </w:pPr>
      <w:bookmarkStart w:id="0" w:name="_GoBack"/>
      <w:bookmarkEnd w:id="0"/>
    </w:p>
    <w:p w:rsidR="00265233" w:rsidRDefault="00265233" w:rsidP="0091429C">
      <w:pPr>
        <w:ind w:right="-285"/>
        <w:rPr>
          <w:noProof/>
          <w:lang w:val="es-ES" w:eastAsia="es-ES"/>
        </w:rPr>
      </w:pPr>
    </w:p>
    <w:p w:rsidR="0091429C" w:rsidRDefault="0091429C" w:rsidP="0091429C">
      <w:pPr>
        <w:ind w:right="-285"/>
        <w:rPr>
          <w:sz w:val="24"/>
          <w:szCs w:val="24"/>
        </w:rPr>
      </w:pPr>
    </w:p>
    <w:p w:rsidR="00265233" w:rsidRDefault="00265233" w:rsidP="0091429C">
      <w:pPr>
        <w:ind w:right="-285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Raúl Soto Mardones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Loreto Carvajal A.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Ricardo Celis A.</w:t>
      </w:r>
    </w:p>
    <w:p w:rsidR="00265233" w:rsidRDefault="00265233" w:rsidP="0091429C">
      <w:pPr>
        <w:ind w:right="-285"/>
        <w:jc w:val="both"/>
        <w:rPr>
          <w:b/>
          <w:bCs/>
          <w:i/>
          <w:iCs/>
          <w:sz w:val="24"/>
          <w:szCs w:val="24"/>
        </w:rPr>
      </w:pPr>
    </w:p>
    <w:p w:rsidR="00265233" w:rsidRDefault="00265233" w:rsidP="0091429C">
      <w:pPr>
        <w:ind w:right="-285"/>
        <w:jc w:val="both"/>
        <w:rPr>
          <w:b/>
          <w:bCs/>
          <w:i/>
          <w:iCs/>
          <w:sz w:val="24"/>
          <w:szCs w:val="24"/>
        </w:rPr>
      </w:pPr>
    </w:p>
    <w:p w:rsidR="00265233" w:rsidRDefault="00265233" w:rsidP="0091429C">
      <w:pPr>
        <w:ind w:right="-285"/>
        <w:jc w:val="both"/>
        <w:rPr>
          <w:b/>
          <w:bCs/>
          <w:i/>
          <w:iCs/>
          <w:sz w:val="24"/>
          <w:szCs w:val="24"/>
        </w:rPr>
      </w:pPr>
    </w:p>
    <w:p w:rsidR="00265233" w:rsidRDefault="00265233" w:rsidP="0091429C">
      <w:pPr>
        <w:ind w:right="-285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Carolina Marzán P.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Tucapel Jiménez F.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Andrea Parra S.</w:t>
      </w:r>
    </w:p>
    <w:p w:rsidR="00265233" w:rsidRDefault="00265233" w:rsidP="0091429C">
      <w:pPr>
        <w:ind w:right="-285"/>
        <w:jc w:val="both"/>
        <w:rPr>
          <w:b/>
          <w:bCs/>
          <w:i/>
          <w:iCs/>
          <w:sz w:val="24"/>
          <w:szCs w:val="24"/>
        </w:rPr>
      </w:pPr>
    </w:p>
    <w:p w:rsidR="00265233" w:rsidRDefault="00265233" w:rsidP="0091429C">
      <w:pPr>
        <w:ind w:right="-285"/>
        <w:jc w:val="both"/>
        <w:rPr>
          <w:b/>
          <w:bCs/>
          <w:i/>
          <w:iCs/>
          <w:sz w:val="24"/>
          <w:szCs w:val="24"/>
        </w:rPr>
      </w:pPr>
    </w:p>
    <w:p w:rsidR="00265233" w:rsidRDefault="00265233" w:rsidP="0091429C">
      <w:pPr>
        <w:ind w:right="-285"/>
        <w:jc w:val="both"/>
        <w:rPr>
          <w:b/>
          <w:bCs/>
          <w:i/>
          <w:iCs/>
          <w:sz w:val="24"/>
          <w:szCs w:val="24"/>
        </w:rPr>
      </w:pPr>
    </w:p>
    <w:p w:rsidR="00265233" w:rsidRDefault="00265233" w:rsidP="0091429C">
      <w:pPr>
        <w:ind w:right="-285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Cristina Girardi L.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Rodrigo González T.</w:t>
      </w:r>
    </w:p>
    <w:p w:rsidR="00265233" w:rsidRPr="00265233" w:rsidRDefault="00265233" w:rsidP="0091429C">
      <w:pPr>
        <w:ind w:right="-285"/>
        <w:jc w:val="center"/>
        <w:rPr>
          <w:b/>
          <w:bCs/>
          <w:i/>
          <w:iCs/>
          <w:sz w:val="24"/>
          <w:szCs w:val="24"/>
        </w:rPr>
      </w:pPr>
    </w:p>
    <w:sectPr w:rsidR="00265233" w:rsidRPr="00265233" w:rsidSect="003F6AAC">
      <w:headerReference w:type="default" r:id="rId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24C" w:rsidRDefault="0041024C" w:rsidP="00C9607B">
      <w:pPr>
        <w:spacing w:after="0" w:line="240" w:lineRule="auto"/>
      </w:pPr>
      <w:r>
        <w:separator/>
      </w:r>
    </w:p>
  </w:endnote>
  <w:endnote w:type="continuationSeparator" w:id="0">
    <w:p w:rsidR="0041024C" w:rsidRDefault="0041024C" w:rsidP="00C9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24C" w:rsidRDefault="0041024C" w:rsidP="00C9607B">
      <w:pPr>
        <w:spacing w:after="0" w:line="240" w:lineRule="auto"/>
      </w:pPr>
      <w:r>
        <w:separator/>
      </w:r>
    </w:p>
  </w:footnote>
  <w:footnote w:type="continuationSeparator" w:id="0">
    <w:p w:rsidR="0041024C" w:rsidRDefault="0041024C" w:rsidP="00C9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AC" w:rsidRDefault="003F6AAC" w:rsidP="003F6AA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914400" cy="92646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6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7B"/>
    <w:rsid w:val="001D0598"/>
    <w:rsid w:val="00265233"/>
    <w:rsid w:val="00283FD1"/>
    <w:rsid w:val="00343B5C"/>
    <w:rsid w:val="003666D4"/>
    <w:rsid w:val="003B1AE3"/>
    <w:rsid w:val="003F6AAC"/>
    <w:rsid w:val="0041024C"/>
    <w:rsid w:val="00444114"/>
    <w:rsid w:val="00446CC2"/>
    <w:rsid w:val="00612A32"/>
    <w:rsid w:val="00634610"/>
    <w:rsid w:val="0071168F"/>
    <w:rsid w:val="00771D45"/>
    <w:rsid w:val="008231B5"/>
    <w:rsid w:val="00852C5D"/>
    <w:rsid w:val="008923DB"/>
    <w:rsid w:val="00900EA1"/>
    <w:rsid w:val="0091429C"/>
    <w:rsid w:val="009916BA"/>
    <w:rsid w:val="00A8552D"/>
    <w:rsid w:val="00AA612B"/>
    <w:rsid w:val="00C6278B"/>
    <w:rsid w:val="00C9607B"/>
    <w:rsid w:val="00CC3AA3"/>
    <w:rsid w:val="00D751E3"/>
    <w:rsid w:val="00D8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0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960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607B"/>
  </w:style>
  <w:style w:type="paragraph" w:styleId="Textonotapie">
    <w:name w:val="footnote text"/>
    <w:basedOn w:val="Normal"/>
    <w:link w:val="TextonotapieCar"/>
    <w:uiPriority w:val="99"/>
    <w:semiHidden/>
    <w:unhideWhenUsed/>
    <w:rsid w:val="00C9607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607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607B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C9607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995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Guillermo Diaz Vallejos</cp:lastModifiedBy>
  <cp:revision>3</cp:revision>
  <dcterms:created xsi:type="dcterms:W3CDTF">2020-04-09T16:57:00Z</dcterms:created>
  <dcterms:modified xsi:type="dcterms:W3CDTF">2020-04-14T20:52:00Z</dcterms:modified>
</cp:coreProperties>
</file>