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39" w:rsidRPr="00B05264" w:rsidRDefault="00B05264" w:rsidP="00821EBB">
      <w:pPr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B05264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Modifica el Código Civil y la ley N° 19.947, que Establece nueva Ley de Matrimonio Civil, para posibilitar el divorcio unilateral y la disolución de la sociedad conyugal, acreditando un año de cese de la convivencia entre los cónyuges</w:t>
      </w:r>
    </w:p>
    <w:p w:rsidR="00B05264" w:rsidRPr="00B05264" w:rsidRDefault="00B05264" w:rsidP="00821EBB">
      <w:pPr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</w:p>
    <w:p w:rsidR="00B05264" w:rsidRPr="00B05264" w:rsidRDefault="00B05264" w:rsidP="00B05264">
      <w:pPr>
        <w:jc w:val="center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B05264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B</w:t>
      </w:r>
      <w:r w:rsidRPr="00B05264">
        <w:rPr>
          <w:rFonts w:ascii="Dosis" w:hAnsi="Dosis" w:hint="eastAsia"/>
          <w:b/>
          <w:color w:val="333333"/>
          <w:sz w:val="27"/>
          <w:szCs w:val="27"/>
          <w:shd w:val="clear" w:color="auto" w:fill="FFFFFF"/>
        </w:rPr>
        <w:t>oletín</w:t>
      </w:r>
      <w:r w:rsidRPr="00B05264">
        <w:rPr>
          <w:rFonts w:ascii="Dosis" w:hAnsi="Dosis"/>
          <w:b/>
          <w:color w:val="333333"/>
          <w:sz w:val="27"/>
          <w:szCs w:val="27"/>
          <w:shd w:val="clear" w:color="auto" w:fill="FFFFFF"/>
        </w:rPr>
        <w:t xml:space="preserve"> N° 13397-18</w:t>
      </w:r>
    </w:p>
    <w:p w:rsidR="00B05264" w:rsidRDefault="00B05264" w:rsidP="00821EBB">
      <w:pPr>
        <w:rPr>
          <w:rFonts w:ascii="Cambria" w:hAnsi="Cambria"/>
          <w:b/>
          <w:bCs/>
          <w:u w:val="single"/>
          <w:lang w:val="es-ES"/>
        </w:rPr>
      </w:pPr>
    </w:p>
    <w:p w:rsidR="00821EBB" w:rsidRDefault="00821EBB" w:rsidP="00821EBB">
      <w:pPr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 xml:space="preserve">Considerando: </w:t>
      </w:r>
    </w:p>
    <w:p w:rsidR="00821EBB" w:rsidRDefault="00821EBB" w:rsidP="00821EBB">
      <w:pPr>
        <w:rPr>
          <w:rFonts w:ascii="Cambria" w:hAnsi="Cambria"/>
          <w:b/>
          <w:bCs/>
          <w:u w:val="single"/>
          <w:lang w:val="es-ES"/>
        </w:rPr>
      </w:pPr>
    </w:p>
    <w:p w:rsidR="004C1B2D" w:rsidRDefault="00821EBB" w:rsidP="004479FB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 w:rsidRPr="00FB2162">
        <w:rPr>
          <w:rFonts w:ascii="Cambria" w:hAnsi="Cambria"/>
          <w:lang w:val="es-ES"/>
        </w:rPr>
        <w:t xml:space="preserve">Que </w:t>
      </w:r>
      <w:r w:rsidR="005B7C28" w:rsidRPr="00FB2162">
        <w:rPr>
          <w:rFonts w:ascii="Cambria" w:hAnsi="Cambria"/>
          <w:lang w:val="es-ES"/>
        </w:rPr>
        <w:t xml:space="preserve">el año 2004 fue promulgada la Ley de </w:t>
      </w:r>
      <w:r w:rsidR="00132E0B">
        <w:rPr>
          <w:rFonts w:ascii="Cambria" w:hAnsi="Cambria"/>
          <w:lang w:val="es-ES"/>
        </w:rPr>
        <w:t>M</w:t>
      </w:r>
      <w:r w:rsidR="005B7C28" w:rsidRPr="00FB2162">
        <w:rPr>
          <w:rFonts w:ascii="Cambria" w:hAnsi="Cambria"/>
          <w:lang w:val="es-ES"/>
        </w:rPr>
        <w:t xml:space="preserve">atrimonio </w:t>
      </w:r>
      <w:r w:rsidR="00132E0B">
        <w:rPr>
          <w:rFonts w:ascii="Cambria" w:hAnsi="Cambria"/>
          <w:lang w:val="es-ES"/>
        </w:rPr>
        <w:t>C</w:t>
      </w:r>
      <w:r w:rsidR="001D2AEA" w:rsidRPr="00FB2162">
        <w:rPr>
          <w:rFonts w:ascii="Cambria" w:hAnsi="Cambria"/>
          <w:lang w:val="es-ES"/>
        </w:rPr>
        <w:t xml:space="preserve">ivil, cuya principal innovación fue la incorporación del Divorcio </w:t>
      </w:r>
      <w:r w:rsidR="009422C2">
        <w:rPr>
          <w:rFonts w:ascii="Cambria" w:hAnsi="Cambria"/>
          <w:lang w:val="es-ES"/>
        </w:rPr>
        <w:t>V</w:t>
      </w:r>
      <w:r w:rsidR="001D2AEA" w:rsidRPr="00FB2162">
        <w:rPr>
          <w:rFonts w:ascii="Cambria" w:hAnsi="Cambria"/>
          <w:lang w:val="es-ES"/>
        </w:rPr>
        <w:t>incular</w:t>
      </w:r>
      <w:r w:rsidR="004C1B2D" w:rsidRPr="00FB2162">
        <w:rPr>
          <w:rFonts w:ascii="Cambria" w:hAnsi="Cambria"/>
          <w:lang w:val="es-ES"/>
        </w:rPr>
        <w:t xml:space="preserve">. Este último es un reconocimiento a la libertad personal de los cónyuges en cuestión, a fin de que cada </w:t>
      </w:r>
      <w:r w:rsidR="009422C2">
        <w:rPr>
          <w:rFonts w:ascii="Cambria" w:hAnsi="Cambria"/>
          <w:lang w:val="es-ES"/>
        </w:rPr>
        <w:t xml:space="preserve">cual </w:t>
      </w:r>
      <w:r w:rsidR="004C1B2D" w:rsidRPr="00FB2162">
        <w:rPr>
          <w:rFonts w:ascii="Cambria" w:hAnsi="Cambria"/>
          <w:lang w:val="es-ES"/>
        </w:rPr>
        <w:t xml:space="preserve">pueda desenvolverse en la sociedad como mejor le parezca. </w:t>
      </w:r>
    </w:p>
    <w:p w:rsidR="00FB2162" w:rsidRPr="00FB2162" w:rsidRDefault="00FB2162" w:rsidP="004479FB">
      <w:pPr>
        <w:pStyle w:val="Prrafodelista"/>
        <w:jc w:val="both"/>
        <w:rPr>
          <w:rFonts w:ascii="Cambria" w:hAnsi="Cambria"/>
          <w:lang w:val="es-ES"/>
        </w:rPr>
      </w:pPr>
    </w:p>
    <w:p w:rsidR="004C1B2D" w:rsidRDefault="004C1B2D" w:rsidP="004479FB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Que la norma aludida establece la posibilidad de solicitar ante un juez el divorcio por </w:t>
      </w:r>
      <w:r w:rsidRPr="009422C2">
        <w:rPr>
          <w:rFonts w:ascii="Cambria" w:hAnsi="Cambria"/>
          <w:b/>
          <w:lang w:val="es-ES"/>
        </w:rPr>
        <w:t>mutuo acuerdo</w:t>
      </w:r>
      <w:r>
        <w:rPr>
          <w:rFonts w:ascii="Cambria" w:hAnsi="Cambria"/>
          <w:lang w:val="es-ES"/>
        </w:rPr>
        <w:t xml:space="preserve"> </w:t>
      </w:r>
      <w:r w:rsidR="004479FB">
        <w:rPr>
          <w:rFonts w:ascii="Cambria" w:hAnsi="Cambria"/>
          <w:lang w:val="es-ES"/>
        </w:rPr>
        <w:t xml:space="preserve">o </w:t>
      </w:r>
      <w:r>
        <w:rPr>
          <w:rFonts w:ascii="Cambria" w:hAnsi="Cambria"/>
          <w:lang w:val="es-ES"/>
        </w:rPr>
        <w:t xml:space="preserve">de manera </w:t>
      </w:r>
      <w:r w:rsidRPr="009422C2">
        <w:rPr>
          <w:rFonts w:ascii="Cambria" w:hAnsi="Cambria"/>
          <w:b/>
          <w:lang w:val="es-ES"/>
        </w:rPr>
        <w:t>unilateral</w:t>
      </w:r>
      <w:r>
        <w:rPr>
          <w:rFonts w:ascii="Cambria" w:hAnsi="Cambria"/>
          <w:lang w:val="es-ES"/>
        </w:rPr>
        <w:t xml:space="preserve">, requiriendo en ambos casos acreditar el cese de convivencia </w:t>
      </w:r>
      <w:r w:rsidR="007C27BF">
        <w:rPr>
          <w:rFonts w:ascii="Cambria" w:hAnsi="Cambria"/>
          <w:lang w:val="es-ES"/>
        </w:rPr>
        <w:t xml:space="preserve">por periodos </w:t>
      </w:r>
      <w:r w:rsidR="00FB2162">
        <w:rPr>
          <w:rFonts w:ascii="Cambria" w:hAnsi="Cambria"/>
          <w:lang w:val="es-ES"/>
        </w:rPr>
        <w:t>de tiempo</w:t>
      </w:r>
      <w:r w:rsidR="00743F39">
        <w:rPr>
          <w:rFonts w:ascii="Cambria" w:hAnsi="Cambria"/>
          <w:lang w:val="es-ES"/>
        </w:rPr>
        <w:t xml:space="preserve"> entre 1 y 3 años, </w:t>
      </w:r>
      <w:r w:rsidR="009422C2">
        <w:rPr>
          <w:rFonts w:ascii="Cambria" w:hAnsi="Cambria"/>
          <w:lang w:val="es-ES"/>
        </w:rPr>
        <w:t>respectivamente</w:t>
      </w:r>
      <w:r w:rsidR="00743F39">
        <w:rPr>
          <w:rFonts w:ascii="Cambria" w:hAnsi="Cambria"/>
          <w:lang w:val="es-ES"/>
        </w:rPr>
        <w:t>.</w:t>
      </w:r>
    </w:p>
    <w:p w:rsidR="007C27BF" w:rsidRPr="007C27BF" w:rsidRDefault="007C27BF" w:rsidP="004479FB">
      <w:pPr>
        <w:pStyle w:val="Prrafodelista"/>
        <w:jc w:val="both"/>
        <w:rPr>
          <w:rFonts w:ascii="Cambria" w:hAnsi="Cambria"/>
          <w:lang w:val="es-ES"/>
        </w:rPr>
      </w:pPr>
    </w:p>
    <w:p w:rsidR="00743F39" w:rsidRPr="00743F39" w:rsidRDefault="00743F39" w:rsidP="00743F39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Que e</w:t>
      </w:r>
      <w:r w:rsidR="009422C2">
        <w:rPr>
          <w:rFonts w:ascii="Cambria" w:hAnsi="Cambria"/>
          <w:lang w:val="es-ES"/>
        </w:rPr>
        <w:t>l</w:t>
      </w:r>
      <w:r>
        <w:rPr>
          <w:rFonts w:ascii="Cambria" w:hAnsi="Cambria"/>
          <w:lang w:val="es-ES"/>
        </w:rPr>
        <w:t xml:space="preserve"> </w:t>
      </w:r>
      <w:r w:rsidRPr="00843685">
        <w:rPr>
          <w:rFonts w:ascii="Cambria" w:hAnsi="Cambria"/>
          <w:lang w:val="es-ES"/>
        </w:rPr>
        <w:t xml:space="preserve">extenso plazo </w:t>
      </w:r>
      <w:r w:rsidR="009422C2">
        <w:rPr>
          <w:rFonts w:ascii="Cambria" w:hAnsi="Cambria"/>
          <w:lang w:val="es-ES"/>
        </w:rPr>
        <w:t xml:space="preserve">de tres años en el caso de la unilateralidad, </w:t>
      </w:r>
      <w:r w:rsidRPr="00843685">
        <w:rPr>
          <w:rFonts w:ascii="Cambria" w:hAnsi="Cambria"/>
          <w:lang w:val="es-ES"/>
        </w:rPr>
        <w:t>dificulta el proceso de disolución del vínculo en cuanto mantiene una tensión en una relación afectiva entre cónyuges que ha terminado</w:t>
      </w:r>
      <w:r w:rsidR="009422C2">
        <w:rPr>
          <w:rFonts w:ascii="Cambria" w:hAnsi="Cambria"/>
          <w:lang w:val="es-ES"/>
        </w:rPr>
        <w:t xml:space="preserve">, </w:t>
      </w:r>
      <w:r w:rsidRPr="00843685">
        <w:rPr>
          <w:rFonts w:ascii="Cambria" w:hAnsi="Cambria"/>
          <w:lang w:val="es-ES"/>
        </w:rPr>
        <w:t>y que finalmente redunda</w:t>
      </w:r>
      <w:r>
        <w:rPr>
          <w:rFonts w:ascii="Cambria" w:hAnsi="Cambria"/>
          <w:lang w:val="es-ES"/>
        </w:rPr>
        <w:t xml:space="preserve"> negativamente</w:t>
      </w:r>
      <w:r w:rsidRPr="00843685">
        <w:rPr>
          <w:rFonts w:ascii="Cambria" w:hAnsi="Cambria"/>
          <w:lang w:val="es-ES"/>
        </w:rPr>
        <w:t xml:space="preserve"> en los hijos </w:t>
      </w:r>
      <w:r w:rsidR="009422C2">
        <w:rPr>
          <w:rFonts w:ascii="Cambria" w:hAnsi="Cambria"/>
          <w:lang w:val="es-ES"/>
        </w:rPr>
        <w:t xml:space="preserve">cuando los hay, </w:t>
      </w:r>
      <w:r w:rsidRPr="00843685">
        <w:rPr>
          <w:rFonts w:ascii="Cambria" w:hAnsi="Cambria"/>
          <w:lang w:val="es-ES"/>
        </w:rPr>
        <w:t>debido a la</w:t>
      </w:r>
      <w:r>
        <w:rPr>
          <w:rFonts w:ascii="Cambria" w:hAnsi="Cambria"/>
          <w:lang w:val="es-ES"/>
        </w:rPr>
        <w:t xml:space="preserve"> </w:t>
      </w:r>
      <w:r w:rsidRPr="00843685">
        <w:rPr>
          <w:rFonts w:ascii="Cambria" w:hAnsi="Cambria"/>
          <w:lang w:val="es-ES"/>
        </w:rPr>
        <w:t>mantención del clima de conflicto parental</w:t>
      </w:r>
      <w:r>
        <w:rPr>
          <w:rFonts w:ascii="Cambria" w:hAnsi="Cambria"/>
          <w:lang w:val="es-ES"/>
        </w:rPr>
        <w:t>.</w:t>
      </w:r>
    </w:p>
    <w:p w:rsidR="00743F39" w:rsidRPr="00743F39" w:rsidRDefault="00743F39" w:rsidP="00743F39">
      <w:pPr>
        <w:pStyle w:val="Prrafodelista"/>
        <w:rPr>
          <w:rFonts w:ascii="Cambria" w:hAnsi="Cambria"/>
          <w:lang w:val="es-ES"/>
        </w:rPr>
      </w:pPr>
    </w:p>
    <w:p w:rsidR="007C27BF" w:rsidRPr="009422C2" w:rsidRDefault="007C27BF" w:rsidP="009422C2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 w:rsidRPr="00737971">
        <w:rPr>
          <w:rFonts w:ascii="Cambria" w:hAnsi="Cambria"/>
          <w:lang w:val="es-ES"/>
        </w:rPr>
        <w:t xml:space="preserve">En Chile, de acuerdo con el último Informe anual de </w:t>
      </w:r>
      <w:r w:rsidR="009422C2">
        <w:rPr>
          <w:rFonts w:ascii="Cambria" w:hAnsi="Cambria"/>
          <w:lang w:val="es-ES"/>
        </w:rPr>
        <w:t>J</w:t>
      </w:r>
      <w:r w:rsidRPr="009422C2">
        <w:rPr>
          <w:rFonts w:ascii="Cambria" w:hAnsi="Cambria"/>
          <w:lang w:val="es-ES"/>
        </w:rPr>
        <w:t>usticia publicado por el INE (2018), el total de causas ingresadas relativas a divorcio asciende a 63.752. Del total mencionado, el 72,8 % culminó a través de una sentencia judicial.</w:t>
      </w:r>
    </w:p>
    <w:p w:rsidR="00737971" w:rsidRPr="00737971" w:rsidRDefault="00737971" w:rsidP="004479FB">
      <w:pPr>
        <w:pStyle w:val="Prrafodelista"/>
        <w:jc w:val="both"/>
        <w:rPr>
          <w:rFonts w:ascii="Cambria" w:hAnsi="Cambria"/>
          <w:lang w:val="es-ES"/>
        </w:rPr>
      </w:pPr>
    </w:p>
    <w:p w:rsidR="007C27BF" w:rsidRDefault="00737971" w:rsidP="004479FB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Que del total de causas ingresas por divorcio, tan solo el 3,6% tuvo como motivación una falta imputable al otro cónyuge</w:t>
      </w:r>
      <w:r w:rsidR="009422C2">
        <w:rPr>
          <w:rFonts w:ascii="Cambria" w:hAnsi="Cambria"/>
          <w:lang w:val="es-ES"/>
        </w:rPr>
        <w:t xml:space="preserve">. Se infiere de ello </w:t>
      </w:r>
      <w:r>
        <w:rPr>
          <w:rFonts w:ascii="Cambria" w:hAnsi="Cambria"/>
          <w:lang w:val="es-ES"/>
        </w:rPr>
        <w:t xml:space="preserve">que </w:t>
      </w:r>
      <w:r w:rsidR="009422C2">
        <w:rPr>
          <w:rFonts w:ascii="Cambria" w:hAnsi="Cambria"/>
          <w:lang w:val="es-ES"/>
        </w:rPr>
        <w:t xml:space="preserve">en los demás casos </w:t>
      </w:r>
      <w:r>
        <w:rPr>
          <w:rFonts w:ascii="Cambria" w:hAnsi="Cambria"/>
          <w:lang w:val="es-ES"/>
        </w:rPr>
        <w:t xml:space="preserve">se busca disolver el </w:t>
      </w:r>
      <w:proofErr w:type="gramStart"/>
      <w:r>
        <w:rPr>
          <w:rFonts w:ascii="Cambria" w:hAnsi="Cambria"/>
          <w:lang w:val="es-ES"/>
        </w:rPr>
        <w:t>vinculo</w:t>
      </w:r>
      <w:proofErr w:type="gramEnd"/>
      <w:r>
        <w:rPr>
          <w:rFonts w:ascii="Cambria" w:hAnsi="Cambria"/>
          <w:lang w:val="es-ES"/>
        </w:rPr>
        <w:t xml:space="preserve"> matrimonial, ya sea unilateral o </w:t>
      </w:r>
      <w:r w:rsidR="009422C2">
        <w:rPr>
          <w:rFonts w:ascii="Cambria" w:hAnsi="Cambria"/>
          <w:lang w:val="es-ES"/>
        </w:rPr>
        <w:t>de mutuo acuerdo</w:t>
      </w:r>
      <w:r>
        <w:rPr>
          <w:rFonts w:ascii="Cambria" w:hAnsi="Cambria"/>
          <w:lang w:val="es-ES"/>
        </w:rPr>
        <w:t xml:space="preserve">, en virtud </w:t>
      </w:r>
      <w:r w:rsidR="00FB2162">
        <w:rPr>
          <w:rFonts w:ascii="Cambria" w:hAnsi="Cambria"/>
          <w:lang w:val="es-ES"/>
        </w:rPr>
        <w:t xml:space="preserve">del </w:t>
      </w:r>
      <w:r>
        <w:rPr>
          <w:rFonts w:ascii="Cambria" w:hAnsi="Cambria"/>
          <w:lang w:val="es-ES"/>
        </w:rPr>
        <w:t>libre albedrío</w:t>
      </w:r>
      <w:r w:rsidR="00FB2162">
        <w:rPr>
          <w:rFonts w:ascii="Cambria" w:hAnsi="Cambria"/>
          <w:lang w:val="es-ES"/>
        </w:rPr>
        <w:t xml:space="preserve"> de los sujetos en cuestión.</w:t>
      </w:r>
      <w:r>
        <w:rPr>
          <w:rFonts w:ascii="Cambria" w:hAnsi="Cambria"/>
          <w:lang w:val="es-ES"/>
        </w:rPr>
        <w:t xml:space="preserve"> </w:t>
      </w:r>
    </w:p>
    <w:p w:rsidR="009422C2" w:rsidRPr="009422C2" w:rsidRDefault="009422C2" w:rsidP="009422C2">
      <w:pPr>
        <w:pStyle w:val="Prrafodelista"/>
        <w:rPr>
          <w:rFonts w:ascii="Cambria" w:hAnsi="Cambria"/>
          <w:lang w:val="es-ES"/>
        </w:rPr>
      </w:pPr>
    </w:p>
    <w:p w:rsidR="009422C2" w:rsidRDefault="009422C2" w:rsidP="009422C2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Que en los tipos de Divorcio señalados siempre se debe acreditar el cese de convivencia, lo cual busca corroborar que no existe intención, por uno o ambos, de los contratantes de continuar vinculados legalmente.</w:t>
      </w:r>
    </w:p>
    <w:p w:rsidR="00737971" w:rsidRPr="00737971" w:rsidRDefault="00737971" w:rsidP="004479FB">
      <w:pPr>
        <w:pStyle w:val="Prrafodelista"/>
        <w:jc w:val="both"/>
        <w:rPr>
          <w:rFonts w:ascii="Cambria" w:hAnsi="Cambria"/>
          <w:lang w:val="es-ES"/>
        </w:rPr>
      </w:pPr>
    </w:p>
    <w:p w:rsidR="00737971" w:rsidRDefault="00FB2162" w:rsidP="004479FB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Que el espíritu del legislador, irradiado por los principios que emanan de nuestra </w:t>
      </w:r>
      <w:r w:rsidR="009422C2">
        <w:rPr>
          <w:rFonts w:ascii="Cambria" w:hAnsi="Cambria"/>
          <w:lang w:val="es-ES"/>
        </w:rPr>
        <w:t>C</w:t>
      </w:r>
      <w:r>
        <w:rPr>
          <w:rFonts w:ascii="Cambria" w:hAnsi="Cambria"/>
          <w:lang w:val="es-ES"/>
        </w:rPr>
        <w:t xml:space="preserve">onstitución, </w:t>
      </w:r>
      <w:r w:rsidR="009422C2">
        <w:rPr>
          <w:rFonts w:ascii="Cambria" w:hAnsi="Cambria"/>
          <w:lang w:val="es-ES"/>
        </w:rPr>
        <w:t xml:space="preserve">ha sido </w:t>
      </w:r>
      <w:r>
        <w:rPr>
          <w:rFonts w:ascii="Cambria" w:hAnsi="Cambria"/>
          <w:lang w:val="es-ES"/>
        </w:rPr>
        <w:t xml:space="preserve">siempre </w:t>
      </w:r>
      <w:r w:rsidR="009422C2">
        <w:rPr>
          <w:rFonts w:ascii="Cambria" w:hAnsi="Cambria"/>
          <w:lang w:val="es-ES"/>
        </w:rPr>
        <w:t>el de respetar</w:t>
      </w:r>
      <w:r>
        <w:rPr>
          <w:rFonts w:ascii="Cambria" w:hAnsi="Cambria"/>
          <w:lang w:val="es-ES"/>
        </w:rPr>
        <w:t xml:space="preserve"> la autonomía de la voluntad de los individuos, en los casos que no genere menoscabo a terceros. </w:t>
      </w:r>
    </w:p>
    <w:p w:rsidR="00FB2162" w:rsidRPr="00FB2162" w:rsidRDefault="00FB2162" w:rsidP="004479FB">
      <w:pPr>
        <w:pStyle w:val="Prrafodelista"/>
        <w:jc w:val="both"/>
        <w:rPr>
          <w:rFonts w:ascii="Cambria" w:hAnsi="Cambria"/>
          <w:lang w:val="es-ES"/>
        </w:rPr>
      </w:pPr>
    </w:p>
    <w:p w:rsidR="00FB2162" w:rsidRPr="00FB2162" w:rsidRDefault="00FB2162" w:rsidP="004479FB">
      <w:pPr>
        <w:pStyle w:val="Prrafodelista"/>
        <w:numPr>
          <w:ilvl w:val="0"/>
          <w:numId w:val="1"/>
        </w:numPr>
        <w:jc w:val="both"/>
        <w:rPr>
          <w:rFonts w:ascii="Cambria" w:hAnsi="Cambria"/>
          <w:color w:val="000000" w:themeColor="text1"/>
          <w:lang w:val="es-ES"/>
        </w:rPr>
      </w:pPr>
      <w:r w:rsidRPr="00FB2162">
        <w:rPr>
          <w:rFonts w:ascii="Cambria" w:hAnsi="Cambria"/>
          <w:color w:val="000000" w:themeColor="text1"/>
          <w:lang w:val="es-ES"/>
        </w:rPr>
        <w:t>Que para requerir a un Juez que declare la disolución del v</w:t>
      </w:r>
      <w:r w:rsidR="009422C2">
        <w:rPr>
          <w:rFonts w:ascii="Cambria" w:hAnsi="Cambria"/>
          <w:color w:val="000000" w:themeColor="text1"/>
          <w:lang w:val="es-ES"/>
        </w:rPr>
        <w:t>í</w:t>
      </w:r>
      <w:r w:rsidRPr="00FB2162">
        <w:rPr>
          <w:rFonts w:ascii="Cambria" w:hAnsi="Cambria"/>
          <w:color w:val="000000" w:themeColor="text1"/>
          <w:lang w:val="es-ES"/>
        </w:rPr>
        <w:t>nculo matrimonial, debe generarse un acuerdo relativo al régimen</w:t>
      </w:r>
      <w:r w:rsidRPr="00FB2162">
        <w:rPr>
          <w:rFonts w:ascii="Cambria" w:hAnsi="Cambria"/>
          <w:color w:val="000000" w:themeColor="text1"/>
        </w:rPr>
        <w:t xml:space="preserve"> aplicable a los alimentos, al cuidado personal y a la relación directa y regula</w:t>
      </w:r>
      <w:r w:rsidR="00C24DC7">
        <w:rPr>
          <w:rFonts w:ascii="Cambria" w:hAnsi="Cambria"/>
          <w:color w:val="000000" w:themeColor="text1"/>
        </w:rPr>
        <w:t>r</w:t>
      </w:r>
      <w:r w:rsidRPr="00FB2162">
        <w:rPr>
          <w:rFonts w:ascii="Cambria" w:hAnsi="Cambria"/>
          <w:color w:val="000000" w:themeColor="text1"/>
        </w:rPr>
        <w:t xml:space="preserve"> que mantendrá con los hijos</w:t>
      </w:r>
      <w:r w:rsidR="009422C2">
        <w:rPr>
          <w:rFonts w:ascii="Cambria" w:hAnsi="Cambria"/>
          <w:color w:val="000000" w:themeColor="text1"/>
        </w:rPr>
        <w:t xml:space="preserve"> cuando los hay, </w:t>
      </w:r>
      <w:r w:rsidRPr="00FB2162">
        <w:rPr>
          <w:rFonts w:ascii="Cambria" w:hAnsi="Cambria"/>
          <w:color w:val="000000" w:themeColor="text1"/>
        </w:rPr>
        <w:t xml:space="preserve">aquel de los padres que no los tuviere bajo su cuidado. </w:t>
      </w:r>
      <w:r w:rsidR="009422C2">
        <w:rPr>
          <w:rFonts w:ascii="Cambria" w:hAnsi="Cambria"/>
          <w:color w:val="000000" w:themeColor="text1"/>
        </w:rPr>
        <w:t>Cuando este acuerdo está logrado por sentencia judicial, deja de tener sentido prolongar el vínculo matrimonial a la espera que se cumplan los tres años de plazo del cese de convivencia unilateral.</w:t>
      </w:r>
    </w:p>
    <w:p w:rsidR="00FB2162" w:rsidRDefault="00FB2162" w:rsidP="004479FB">
      <w:pPr>
        <w:ind w:left="360"/>
        <w:jc w:val="both"/>
        <w:rPr>
          <w:rFonts w:ascii="Cambria" w:hAnsi="Cambria"/>
          <w:lang w:val="es-ES"/>
        </w:rPr>
      </w:pPr>
    </w:p>
    <w:p w:rsidR="00F35039" w:rsidRPr="00F35039" w:rsidRDefault="00F35039" w:rsidP="00F35039">
      <w:pPr>
        <w:pStyle w:val="Prrafodelista"/>
        <w:rPr>
          <w:rFonts w:ascii="Cambria" w:hAnsi="Cambria"/>
          <w:lang w:val="es-ES"/>
        </w:rPr>
      </w:pPr>
    </w:p>
    <w:p w:rsidR="00F35039" w:rsidRDefault="00F35039" w:rsidP="00F35039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Que en los casos que exista una sociedad conyugal vigente, y un cese efectivo de convivencia, el cónyuge no administrador del régimen podría verse afectado por las arbitrariedades del otro. </w:t>
      </w:r>
    </w:p>
    <w:p w:rsidR="00F35039" w:rsidRPr="00F35039" w:rsidRDefault="00F35039" w:rsidP="00F35039">
      <w:pPr>
        <w:pStyle w:val="Prrafodelista"/>
        <w:rPr>
          <w:rFonts w:ascii="Cambria" w:hAnsi="Cambria"/>
          <w:lang w:val="es-ES"/>
        </w:rPr>
      </w:pPr>
    </w:p>
    <w:p w:rsidR="00F35039" w:rsidRDefault="00F35039" w:rsidP="00F35039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Que en virtud del principio de la libre circulación de la riqueza que inspira nuestro código civil, y del derecho de </w:t>
      </w:r>
      <w:r w:rsidR="003460C0">
        <w:rPr>
          <w:rFonts w:ascii="Cambria" w:hAnsi="Cambria"/>
          <w:lang w:val="es-ES"/>
        </w:rPr>
        <w:t xml:space="preserve">propiedad e igualdad </w:t>
      </w:r>
      <w:r>
        <w:rPr>
          <w:rFonts w:ascii="Cambria" w:hAnsi="Cambria"/>
          <w:lang w:val="es-ES"/>
        </w:rPr>
        <w:t>consagrado</w:t>
      </w:r>
      <w:r w:rsidR="003460C0">
        <w:rPr>
          <w:rFonts w:ascii="Cambria" w:hAnsi="Cambria"/>
          <w:lang w:val="es-ES"/>
        </w:rPr>
        <w:t>s</w:t>
      </w:r>
      <w:r>
        <w:rPr>
          <w:rFonts w:ascii="Cambria" w:hAnsi="Cambria"/>
          <w:lang w:val="es-ES"/>
        </w:rPr>
        <w:t xml:space="preserve"> y protegido</w:t>
      </w:r>
      <w:r w:rsidR="003460C0">
        <w:rPr>
          <w:rFonts w:ascii="Cambria" w:hAnsi="Cambria"/>
          <w:lang w:val="es-ES"/>
        </w:rPr>
        <w:t>s</w:t>
      </w:r>
      <w:r>
        <w:rPr>
          <w:rFonts w:ascii="Cambria" w:hAnsi="Cambria"/>
          <w:lang w:val="es-ES"/>
        </w:rPr>
        <w:t xml:space="preserve"> por nuestra Constitución </w:t>
      </w:r>
      <w:r w:rsidR="003460C0">
        <w:rPr>
          <w:rFonts w:ascii="Cambria" w:hAnsi="Cambria"/>
          <w:lang w:val="es-ES"/>
        </w:rPr>
        <w:t>P</w:t>
      </w:r>
      <w:r>
        <w:rPr>
          <w:rFonts w:ascii="Cambria" w:hAnsi="Cambria"/>
          <w:lang w:val="es-ES"/>
        </w:rPr>
        <w:t>olítica de la República, debe ser una preocupación del legislador velar la integridad de estos derechos</w:t>
      </w:r>
      <w:r w:rsidR="003460C0">
        <w:rPr>
          <w:rFonts w:ascii="Cambria" w:hAnsi="Cambria"/>
          <w:lang w:val="es-ES"/>
        </w:rPr>
        <w:t xml:space="preserve"> en la normativa familiar. </w:t>
      </w:r>
    </w:p>
    <w:p w:rsidR="00F35039" w:rsidRPr="00F35039" w:rsidRDefault="00F35039" w:rsidP="00F35039">
      <w:pPr>
        <w:pStyle w:val="Prrafodelista"/>
        <w:rPr>
          <w:rFonts w:ascii="Cambria" w:hAnsi="Cambria"/>
          <w:lang w:val="es-ES"/>
        </w:rPr>
      </w:pPr>
    </w:p>
    <w:p w:rsidR="003460C0" w:rsidRDefault="00F35039" w:rsidP="00F35039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Que el </w:t>
      </w:r>
      <w:r w:rsidR="003460C0">
        <w:rPr>
          <w:rFonts w:ascii="Cambria" w:hAnsi="Cambria"/>
          <w:lang w:val="es-ES"/>
        </w:rPr>
        <w:t>cónyuge varón</w:t>
      </w:r>
      <w:r>
        <w:rPr>
          <w:rFonts w:ascii="Cambria" w:hAnsi="Cambria"/>
          <w:lang w:val="es-ES"/>
        </w:rPr>
        <w:t xml:space="preserve"> no tiene posibilidad de requerir al Juez para solicitar la </w:t>
      </w:r>
      <w:r w:rsidR="00E2683F">
        <w:rPr>
          <w:rFonts w:ascii="Cambria" w:hAnsi="Cambria"/>
          <w:lang w:val="es-ES"/>
        </w:rPr>
        <w:t>disolución</w:t>
      </w:r>
      <w:r w:rsidR="003460C0">
        <w:rPr>
          <w:rFonts w:ascii="Cambria" w:hAnsi="Cambria"/>
          <w:lang w:val="es-ES"/>
        </w:rPr>
        <w:t xml:space="preserve"> de la sociedad conyugal, como s</w:t>
      </w:r>
      <w:r w:rsidR="009422C2">
        <w:rPr>
          <w:rFonts w:ascii="Cambria" w:hAnsi="Cambria"/>
          <w:lang w:val="es-ES"/>
        </w:rPr>
        <w:t>í</w:t>
      </w:r>
      <w:r w:rsidR="003460C0">
        <w:rPr>
          <w:rFonts w:ascii="Cambria" w:hAnsi="Cambria"/>
          <w:lang w:val="es-ES"/>
        </w:rPr>
        <w:t xml:space="preserve"> la posee la mujer en virtud del Artículo 138º bis del Código Civil, siendo una manifestación expresa de discriminación arbitraria de la ley hacia el hombre.</w:t>
      </w:r>
    </w:p>
    <w:p w:rsidR="003460C0" w:rsidRPr="003460C0" w:rsidRDefault="003460C0" w:rsidP="003460C0">
      <w:pPr>
        <w:pStyle w:val="Prrafodelista"/>
        <w:rPr>
          <w:rFonts w:ascii="Cambria" w:hAnsi="Cambria"/>
          <w:lang w:val="es-ES"/>
        </w:rPr>
      </w:pPr>
    </w:p>
    <w:p w:rsidR="00F35039" w:rsidRDefault="003460C0" w:rsidP="00F35039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Que los cónyuges, separados en el hecho, que a</w:t>
      </w:r>
      <w:r w:rsidR="009422C2">
        <w:rPr>
          <w:rFonts w:ascii="Cambria" w:hAnsi="Cambria"/>
          <w:lang w:val="es-ES"/>
        </w:rPr>
        <w:t>ú</w:t>
      </w:r>
      <w:r>
        <w:rPr>
          <w:rFonts w:ascii="Cambria" w:hAnsi="Cambria"/>
          <w:lang w:val="es-ES"/>
        </w:rPr>
        <w:t>n mantienen vigente una sociedad conyugal</w:t>
      </w:r>
      <w:r w:rsidR="009422C2">
        <w:rPr>
          <w:rFonts w:ascii="Cambria" w:hAnsi="Cambria"/>
          <w:lang w:val="es-ES"/>
        </w:rPr>
        <w:t>,</w:t>
      </w:r>
      <w:r>
        <w:rPr>
          <w:rFonts w:ascii="Cambria" w:hAnsi="Cambria"/>
          <w:lang w:val="es-ES"/>
        </w:rPr>
        <w:t xml:space="preserve"> podrían recurrir a simulaciones legales para burlar la norma y así lograr disponer de sus bienes. Lo anterior acompañado de la posibilidad que puedan verse afectados los intereses patrimoniales de terceros.  </w:t>
      </w:r>
    </w:p>
    <w:p w:rsidR="003460C0" w:rsidRPr="003460C0" w:rsidRDefault="003460C0" w:rsidP="003460C0">
      <w:pPr>
        <w:pStyle w:val="Prrafodelista"/>
        <w:rPr>
          <w:rFonts w:ascii="Cambria" w:hAnsi="Cambria"/>
          <w:lang w:val="es-ES"/>
        </w:rPr>
      </w:pPr>
    </w:p>
    <w:p w:rsidR="003460C0" w:rsidRDefault="003460C0" w:rsidP="003460C0">
      <w:pPr>
        <w:jc w:val="both"/>
        <w:rPr>
          <w:rFonts w:ascii="Cambria" w:hAnsi="Cambria"/>
          <w:lang w:val="es-ES"/>
        </w:rPr>
      </w:pPr>
    </w:p>
    <w:p w:rsidR="00E2683F" w:rsidRDefault="00E2683F" w:rsidP="003460C0">
      <w:pPr>
        <w:jc w:val="both"/>
        <w:rPr>
          <w:rFonts w:ascii="Cambria" w:hAnsi="Cambria"/>
          <w:lang w:val="es-ES"/>
        </w:rPr>
      </w:pPr>
    </w:p>
    <w:p w:rsidR="00E2683F" w:rsidRDefault="00E2683F" w:rsidP="003460C0">
      <w:pPr>
        <w:jc w:val="both"/>
        <w:rPr>
          <w:rFonts w:ascii="Cambria" w:hAnsi="Cambria"/>
          <w:lang w:val="es-ES"/>
        </w:rPr>
      </w:pPr>
    </w:p>
    <w:p w:rsidR="00E2683F" w:rsidRDefault="00E2683F" w:rsidP="003460C0">
      <w:pPr>
        <w:jc w:val="both"/>
        <w:rPr>
          <w:rFonts w:ascii="Cambria" w:hAnsi="Cambria"/>
          <w:lang w:val="es-ES"/>
        </w:rPr>
      </w:pPr>
    </w:p>
    <w:p w:rsidR="00C24DC7" w:rsidRPr="002F6A01" w:rsidRDefault="00C24DC7" w:rsidP="004479FB">
      <w:pPr>
        <w:jc w:val="both"/>
        <w:rPr>
          <w:rFonts w:ascii="Cambria" w:hAnsi="Cambria" w:cs="Courier New"/>
          <w:sz w:val="22"/>
          <w:szCs w:val="22"/>
          <w:lang w:val="es-ES"/>
        </w:rPr>
      </w:pPr>
      <w:r>
        <w:rPr>
          <w:rFonts w:ascii="Cambria" w:hAnsi="Cambria" w:cs="Courier New"/>
          <w:sz w:val="22"/>
          <w:szCs w:val="22"/>
          <w:lang w:val="es-ES"/>
        </w:rPr>
        <w:t>Por lo anteriormente expuesto, los diputados firmantes venimos a proponer la siguiente:</w:t>
      </w: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652E1" w:rsidRDefault="00C652E1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</w:p>
    <w:p w:rsidR="00C24DC7" w:rsidRDefault="00C24DC7" w:rsidP="00E2683F">
      <w:pPr>
        <w:jc w:val="center"/>
        <w:rPr>
          <w:rFonts w:ascii="Cambria" w:hAnsi="Cambria"/>
          <w:b/>
          <w:bCs/>
          <w:sz w:val="40"/>
          <w:szCs w:val="40"/>
          <w:lang w:val="es-ES"/>
        </w:rPr>
      </w:pPr>
      <w:r w:rsidRPr="00C24DC7">
        <w:rPr>
          <w:rFonts w:ascii="Cambria" w:hAnsi="Cambria"/>
          <w:b/>
          <w:bCs/>
          <w:sz w:val="40"/>
          <w:szCs w:val="40"/>
          <w:lang w:val="es-ES"/>
        </w:rPr>
        <w:t>Moción</w:t>
      </w:r>
    </w:p>
    <w:p w:rsidR="00C652E1" w:rsidRDefault="00C652E1" w:rsidP="008E07AE">
      <w:pPr>
        <w:rPr>
          <w:rFonts w:ascii="Cambria" w:hAnsi="Cambria"/>
          <w:b/>
          <w:bCs/>
          <w:sz w:val="40"/>
          <w:szCs w:val="40"/>
          <w:lang w:val="es-ES"/>
        </w:rPr>
      </w:pPr>
    </w:p>
    <w:p w:rsidR="00C24DC7" w:rsidRDefault="00C24DC7" w:rsidP="004479FB">
      <w:pPr>
        <w:jc w:val="both"/>
        <w:rPr>
          <w:rFonts w:ascii="Cambria" w:hAnsi="Cambria"/>
          <w:b/>
          <w:bCs/>
          <w:sz w:val="40"/>
          <w:szCs w:val="40"/>
          <w:lang w:val="es-ES"/>
        </w:rPr>
      </w:pPr>
    </w:p>
    <w:p w:rsidR="00C24DC7" w:rsidRDefault="00C24DC7" w:rsidP="00C652E1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Artículo </w:t>
      </w:r>
      <w:r w:rsidR="003460C0">
        <w:rPr>
          <w:rFonts w:ascii="Cambria" w:hAnsi="Cambria"/>
          <w:lang w:val="es-ES"/>
        </w:rPr>
        <w:t>1º</w:t>
      </w:r>
      <w:r>
        <w:rPr>
          <w:rFonts w:ascii="Cambria" w:hAnsi="Cambria"/>
          <w:lang w:val="es-ES"/>
        </w:rPr>
        <w:t xml:space="preserve">: Agréguese un inciso al </w:t>
      </w:r>
      <w:r w:rsidRPr="003460C0">
        <w:rPr>
          <w:rFonts w:ascii="Cambria" w:hAnsi="Cambria"/>
          <w:b/>
          <w:bCs/>
          <w:u w:val="single"/>
          <w:lang w:val="es-ES"/>
        </w:rPr>
        <w:t xml:space="preserve">Artículo 55º de la </w:t>
      </w:r>
      <w:r w:rsidRPr="00743F39">
        <w:rPr>
          <w:rFonts w:ascii="Cambria" w:hAnsi="Cambria"/>
          <w:b/>
          <w:bCs/>
          <w:u w:val="single"/>
          <w:lang w:val="es-ES"/>
        </w:rPr>
        <w:t xml:space="preserve">Ley 19.947 </w:t>
      </w:r>
      <w:r w:rsidR="00E44E37" w:rsidRPr="00743F39">
        <w:rPr>
          <w:rFonts w:ascii="Cambria" w:hAnsi="Cambria"/>
          <w:b/>
          <w:bCs/>
          <w:u w:val="single"/>
          <w:lang w:val="es-ES"/>
        </w:rPr>
        <w:t>de Matrimonio Civil</w:t>
      </w:r>
      <w:r w:rsidR="00E44E37">
        <w:rPr>
          <w:rFonts w:ascii="Cambria" w:hAnsi="Cambria"/>
          <w:u w:val="single"/>
          <w:lang w:val="es-ES"/>
        </w:rPr>
        <w:t>,</w:t>
      </w:r>
      <w:r w:rsidR="004479FB">
        <w:rPr>
          <w:rFonts w:ascii="Cambria" w:hAnsi="Cambria"/>
          <w:lang w:val="es-ES"/>
        </w:rPr>
        <w:t xml:space="preserve"> que establece </w:t>
      </w:r>
      <w:r w:rsidR="00E44E37">
        <w:rPr>
          <w:rFonts w:ascii="Cambria" w:hAnsi="Cambria"/>
          <w:lang w:val="es-ES"/>
        </w:rPr>
        <w:t xml:space="preserve">la siguiente facultad para el o los recurrentes del divorcio: </w:t>
      </w:r>
    </w:p>
    <w:p w:rsidR="00E44E37" w:rsidRDefault="00E44E37" w:rsidP="00C652E1">
      <w:pPr>
        <w:ind w:left="360"/>
        <w:jc w:val="both"/>
        <w:rPr>
          <w:rFonts w:ascii="Cambria" w:hAnsi="Cambria"/>
          <w:lang w:val="es-ES"/>
        </w:rPr>
      </w:pPr>
    </w:p>
    <w:p w:rsidR="00E44E37" w:rsidRDefault="00E44E37" w:rsidP="00C652E1">
      <w:pPr>
        <w:pStyle w:val="Prrafodelista"/>
        <w:numPr>
          <w:ilvl w:val="0"/>
          <w:numId w:val="2"/>
        </w:numPr>
        <w:ind w:left="1776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Estando resueltas en un acuerdo todas las materias señaladas en el artículo 21º, se podrá requerir al juez para que decrete el divorcio cuando la parte</w:t>
      </w:r>
      <w:r w:rsidR="00C652E1">
        <w:rPr>
          <w:rFonts w:ascii="Cambria" w:hAnsi="Cambria"/>
          <w:lang w:val="es-ES"/>
        </w:rPr>
        <w:t xml:space="preserve"> </w:t>
      </w:r>
      <w:r w:rsidR="00ED6E91">
        <w:rPr>
          <w:rFonts w:ascii="Cambria" w:hAnsi="Cambria"/>
          <w:lang w:val="es-ES"/>
        </w:rPr>
        <w:t xml:space="preserve">recurrente </w:t>
      </w:r>
      <w:r>
        <w:rPr>
          <w:rFonts w:ascii="Cambria" w:hAnsi="Cambria"/>
          <w:lang w:val="es-ES"/>
        </w:rPr>
        <w:t>haya acreditado el cese efectivo de convivencia por un año</w:t>
      </w:r>
      <w:r w:rsidR="004479FB">
        <w:rPr>
          <w:rFonts w:ascii="Cambria" w:hAnsi="Cambria"/>
          <w:lang w:val="es-ES"/>
        </w:rPr>
        <w:t xml:space="preserve">. </w:t>
      </w:r>
    </w:p>
    <w:p w:rsidR="00C652E1" w:rsidRDefault="00C652E1" w:rsidP="008E07AE">
      <w:pPr>
        <w:jc w:val="both"/>
        <w:rPr>
          <w:rFonts w:ascii="Cambria" w:hAnsi="Cambria"/>
          <w:lang w:val="es-ES"/>
        </w:rPr>
      </w:pPr>
    </w:p>
    <w:p w:rsidR="00C652E1" w:rsidRDefault="00C652E1" w:rsidP="00C652E1">
      <w:pPr>
        <w:ind w:left="360"/>
        <w:jc w:val="both"/>
        <w:rPr>
          <w:rFonts w:ascii="Cambria" w:hAnsi="Cambria"/>
          <w:lang w:val="es-ES"/>
        </w:rPr>
      </w:pPr>
    </w:p>
    <w:p w:rsidR="004479FB" w:rsidRDefault="003460C0" w:rsidP="00C652E1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Artículo 2º: Agréguese un numeral al </w:t>
      </w:r>
      <w:r w:rsidRPr="003460C0">
        <w:rPr>
          <w:rFonts w:ascii="Cambria" w:hAnsi="Cambria"/>
          <w:b/>
          <w:bCs/>
          <w:u w:val="single"/>
          <w:lang w:val="es-ES"/>
        </w:rPr>
        <w:t>Artículo 1764º del Código Civil</w:t>
      </w:r>
      <w:r>
        <w:rPr>
          <w:rFonts w:ascii="Cambria" w:hAnsi="Cambria"/>
          <w:lang w:val="es-ES"/>
        </w:rPr>
        <w:t>, que establece una nueva causal para la disolución de la sociedad conyugal:</w:t>
      </w:r>
    </w:p>
    <w:p w:rsidR="003460C0" w:rsidRDefault="003460C0" w:rsidP="00C652E1">
      <w:pPr>
        <w:ind w:left="360"/>
        <w:jc w:val="both"/>
        <w:rPr>
          <w:rFonts w:ascii="Cambria" w:hAnsi="Cambria"/>
          <w:lang w:val="es-ES"/>
        </w:rPr>
      </w:pPr>
    </w:p>
    <w:p w:rsidR="003460C0" w:rsidRPr="003460C0" w:rsidRDefault="00E2683F" w:rsidP="00C652E1">
      <w:pPr>
        <w:pStyle w:val="Prrafodelista"/>
        <w:numPr>
          <w:ilvl w:val="0"/>
          <w:numId w:val="3"/>
        </w:numPr>
        <w:ind w:left="108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Por solicitud ante el Juez de uno de los cónyuges, al acreditar un cese efectivo de la convivencia por el periodo de un año. </w:t>
      </w:r>
    </w:p>
    <w:p w:rsidR="004479FB" w:rsidRDefault="004479FB" w:rsidP="00C652E1">
      <w:pPr>
        <w:ind w:left="360"/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  <w:bookmarkStart w:id="0" w:name="_GoBack"/>
      <w:bookmarkEnd w:id="0"/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8E07AE" w:rsidP="004479FB">
      <w:pPr>
        <w:rPr>
          <w:rFonts w:ascii="Cambria" w:hAnsi="Cambria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150495</wp:posOffset>
            </wp:positionV>
            <wp:extent cx="2603500" cy="12192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Default="004479FB" w:rsidP="004479FB">
      <w:pPr>
        <w:rPr>
          <w:rFonts w:ascii="Cambria" w:hAnsi="Cambria"/>
          <w:lang w:val="es-ES"/>
        </w:rPr>
      </w:pPr>
    </w:p>
    <w:p w:rsidR="004479FB" w:rsidRPr="002F6A01" w:rsidRDefault="004479FB" w:rsidP="004479FB">
      <w:pPr>
        <w:ind w:left="708"/>
        <w:jc w:val="center"/>
        <w:rPr>
          <w:rFonts w:ascii="Cambria" w:hAnsi="Cambria" w:cs="Courier New"/>
          <w:b/>
          <w:sz w:val="28"/>
          <w:szCs w:val="28"/>
          <w:lang w:val="es-ES"/>
        </w:rPr>
      </w:pPr>
      <w:r w:rsidRPr="002F6A01">
        <w:rPr>
          <w:rFonts w:ascii="Cambria" w:hAnsi="Cambria" w:cs="Courier New"/>
          <w:b/>
          <w:sz w:val="28"/>
          <w:szCs w:val="28"/>
          <w:lang w:val="es-ES"/>
        </w:rPr>
        <w:t>BERNARDO BERGER FETT</w:t>
      </w:r>
    </w:p>
    <w:p w:rsidR="004479FB" w:rsidRPr="002F6A01" w:rsidRDefault="004479FB" w:rsidP="004479FB">
      <w:pPr>
        <w:ind w:left="708"/>
        <w:jc w:val="center"/>
        <w:rPr>
          <w:rFonts w:ascii="Cambria" w:hAnsi="Cambria" w:cs="Courier New"/>
          <w:b/>
          <w:sz w:val="28"/>
          <w:szCs w:val="28"/>
          <w:u w:val="single"/>
          <w:lang w:val="es-ES"/>
        </w:rPr>
      </w:pPr>
      <w:r w:rsidRPr="002F6A01">
        <w:rPr>
          <w:rFonts w:ascii="Cambria" w:hAnsi="Cambria" w:cs="Courier New"/>
          <w:b/>
          <w:sz w:val="28"/>
          <w:szCs w:val="28"/>
          <w:lang w:val="es-ES"/>
        </w:rPr>
        <w:t>DIPUTADO</w:t>
      </w:r>
    </w:p>
    <w:p w:rsidR="004479FB" w:rsidRDefault="004479FB" w:rsidP="004479FB">
      <w:pPr>
        <w:jc w:val="center"/>
        <w:rPr>
          <w:rFonts w:ascii="Cambria" w:hAnsi="Cambria"/>
          <w:lang w:val="es-ES"/>
        </w:rPr>
      </w:pPr>
    </w:p>
    <w:p w:rsidR="00C652E1" w:rsidRDefault="00C652E1" w:rsidP="004479FB">
      <w:pPr>
        <w:jc w:val="center"/>
        <w:rPr>
          <w:rFonts w:ascii="Cambria" w:hAnsi="Cambria"/>
          <w:lang w:val="es-ES"/>
        </w:rPr>
      </w:pPr>
    </w:p>
    <w:p w:rsidR="00C652E1" w:rsidRDefault="00C652E1" w:rsidP="004479FB">
      <w:pPr>
        <w:jc w:val="center"/>
        <w:rPr>
          <w:rFonts w:ascii="Cambria" w:hAnsi="Cambria"/>
          <w:lang w:val="es-ES"/>
        </w:rPr>
      </w:pPr>
    </w:p>
    <w:p w:rsidR="00C652E1" w:rsidRDefault="00C652E1" w:rsidP="004479FB">
      <w:pPr>
        <w:jc w:val="center"/>
        <w:rPr>
          <w:rFonts w:ascii="Cambria" w:hAnsi="Cambria"/>
          <w:lang w:val="es-ES"/>
        </w:rPr>
      </w:pPr>
    </w:p>
    <w:p w:rsidR="00C652E1" w:rsidRDefault="00C652E1" w:rsidP="004479FB">
      <w:pPr>
        <w:jc w:val="center"/>
        <w:rPr>
          <w:rFonts w:ascii="Cambria" w:hAnsi="Cambria"/>
          <w:lang w:val="es-ES"/>
        </w:rPr>
      </w:pPr>
    </w:p>
    <w:p w:rsidR="00C652E1" w:rsidRDefault="00C652E1" w:rsidP="00C652E1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BBF/SBF/asg</w:t>
      </w:r>
    </w:p>
    <w:sectPr w:rsidR="00C652E1" w:rsidSect="00743F3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7A"/>
    <w:multiLevelType w:val="hybridMultilevel"/>
    <w:tmpl w:val="6D221D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13F2"/>
    <w:multiLevelType w:val="hybridMultilevel"/>
    <w:tmpl w:val="E9BEC6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665F"/>
    <w:multiLevelType w:val="hybridMultilevel"/>
    <w:tmpl w:val="DE90CB96"/>
    <w:lvl w:ilvl="0" w:tplc="040A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36" w:hanging="360"/>
      </w:pPr>
    </w:lvl>
    <w:lvl w:ilvl="2" w:tplc="040A001B" w:tentative="1">
      <w:start w:val="1"/>
      <w:numFmt w:val="lowerRoman"/>
      <w:lvlText w:val="%3."/>
      <w:lvlJc w:val="right"/>
      <w:pPr>
        <w:ind w:left="2856" w:hanging="180"/>
      </w:pPr>
    </w:lvl>
    <w:lvl w:ilvl="3" w:tplc="040A000F" w:tentative="1">
      <w:start w:val="1"/>
      <w:numFmt w:val="decimal"/>
      <w:lvlText w:val="%4."/>
      <w:lvlJc w:val="left"/>
      <w:pPr>
        <w:ind w:left="3576" w:hanging="360"/>
      </w:pPr>
    </w:lvl>
    <w:lvl w:ilvl="4" w:tplc="040A0019" w:tentative="1">
      <w:start w:val="1"/>
      <w:numFmt w:val="lowerLetter"/>
      <w:lvlText w:val="%5."/>
      <w:lvlJc w:val="left"/>
      <w:pPr>
        <w:ind w:left="4296" w:hanging="360"/>
      </w:pPr>
    </w:lvl>
    <w:lvl w:ilvl="5" w:tplc="040A001B" w:tentative="1">
      <w:start w:val="1"/>
      <w:numFmt w:val="lowerRoman"/>
      <w:lvlText w:val="%6."/>
      <w:lvlJc w:val="right"/>
      <w:pPr>
        <w:ind w:left="5016" w:hanging="180"/>
      </w:pPr>
    </w:lvl>
    <w:lvl w:ilvl="6" w:tplc="040A000F" w:tentative="1">
      <w:start w:val="1"/>
      <w:numFmt w:val="decimal"/>
      <w:lvlText w:val="%7."/>
      <w:lvlJc w:val="left"/>
      <w:pPr>
        <w:ind w:left="5736" w:hanging="360"/>
      </w:pPr>
    </w:lvl>
    <w:lvl w:ilvl="7" w:tplc="040A0019" w:tentative="1">
      <w:start w:val="1"/>
      <w:numFmt w:val="lowerLetter"/>
      <w:lvlText w:val="%8."/>
      <w:lvlJc w:val="left"/>
      <w:pPr>
        <w:ind w:left="6456" w:hanging="360"/>
      </w:pPr>
    </w:lvl>
    <w:lvl w:ilvl="8" w:tplc="040A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EBB"/>
    <w:rsid w:val="00132E0B"/>
    <w:rsid w:val="001D2AEA"/>
    <w:rsid w:val="003460C0"/>
    <w:rsid w:val="004479FB"/>
    <w:rsid w:val="004C1B2D"/>
    <w:rsid w:val="005B7C28"/>
    <w:rsid w:val="00737971"/>
    <w:rsid w:val="00743F39"/>
    <w:rsid w:val="00775FF9"/>
    <w:rsid w:val="007C27BF"/>
    <w:rsid w:val="00821EBB"/>
    <w:rsid w:val="00843685"/>
    <w:rsid w:val="008E07AE"/>
    <w:rsid w:val="009422C2"/>
    <w:rsid w:val="00A74B3C"/>
    <w:rsid w:val="00AB0835"/>
    <w:rsid w:val="00B05264"/>
    <w:rsid w:val="00C24DC7"/>
    <w:rsid w:val="00C652E1"/>
    <w:rsid w:val="00C855FD"/>
    <w:rsid w:val="00E2683F"/>
    <w:rsid w:val="00E44E37"/>
    <w:rsid w:val="00ED6E91"/>
    <w:rsid w:val="00F35039"/>
    <w:rsid w:val="00FB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EBB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2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2162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EBB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2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2162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Soto</dc:creator>
  <cp:lastModifiedBy>Guillermo Diaz Vallejos</cp:lastModifiedBy>
  <cp:revision>3</cp:revision>
  <dcterms:created xsi:type="dcterms:W3CDTF">2020-04-06T15:28:00Z</dcterms:created>
  <dcterms:modified xsi:type="dcterms:W3CDTF">2020-04-07T21:47:00Z</dcterms:modified>
</cp:coreProperties>
</file>