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91" w:rsidRDefault="00F60100" w:rsidP="00F60100">
      <w:pPr>
        <w:spacing w:after="0" w:line="320" w:lineRule="exact"/>
        <w:ind w:right="-149"/>
        <w:rPr>
          <w:b/>
          <w:smallCaps/>
          <w:sz w:val="28"/>
          <w:szCs w:val="28"/>
        </w:rPr>
      </w:pPr>
      <w:r w:rsidRPr="00F60100">
        <w:rPr>
          <w:b/>
          <w:smallCaps/>
          <w:sz w:val="28"/>
          <w:szCs w:val="28"/>
        </w:rPr>
        <w:t>Dispone la suspensión, por un período de tres meses, del cobro de tarifas asociadas a la prestación de los servicios domiciliarios de agua, electricidad y telecomunicaciones, y prohíbe a las empresas prestadoras el corte de tales suministros por causa de deudas del respectivo cliente</w:t>
      </w:r>
    </w:p>
    <w:p w:rsidR="00F60100" w:rsidRDefault="00F60100" w:rsidP="00F60100">
      <w:pPr>
        <w:spacing w:after="0" w:line="320" w:lineRule="exact"/>
        <w:ind w:right="-149"/>
        <w:rPr>
          <w:b/>
          <w:smallCaps/>
          <w:sz w:val="28"/>
          <w:szCs w:val="28"/>
        </w:rPr>
      </w:pPr>
    </w:p>
    <w:p w:rsidR="00F60100" w:rsidRDefault="00F60100" w:rsidP="00F60100">
      <w:pPr>
        <w:spacing w:after="0" w:line="320" w:lineRule="exact"/>
        <w:ind w:right="-149"/>
        <w:jc w:val="center"/>
        <w:rPr>
          <w:b/>
          <w:smallCaps/>
          <w:sz w:val="28"/>
          <w:szCs w:val="28"/>
        </w:rPr>
      </w:pPr>
      <w:r>
        <w:rPr>
          <w:b/>
          <w:smallCaps/>
          <w:sz w:val="28"/>
          <w:szCs w:val="28"/>
        </w:rPr>
        <w:t>boletín N° 13355-03</w:t>
      </w:r>
    </w:p>
    <w:p w:rsidR="00F60100" w:rsidRDefault="00F60100" w:rsidP="00F60100">
      <w:pPr>
        <w:spacing w:after="0" w:line="276" w:lineRule="auto"/>
        <w:ind w:right="-149"/>
        <w:jc w:val="center"/>
      </w:pPr>
    </w:p>
    <w:p w:rsidR="00F60100" w:rsidRDefault="00F60100" w:rsidP="00F60100">
      <w:pPr>
        <w:spacing w:after="0" w:line="276" w:lineRule="auto"/>
        <w:ind w:right="-149"/>
        <w:jc w:val="center"/>
      </w:pPr>
    </w:p>
    <w:p w:rsidR="00750478" w:rsidRDefault="00750478" w:rsidP="00F60100">
      <w:pPr>
        <w:spacing w:after="0" w:line="276" w:lineRule="auto"/>
        <w:ind w:right="-149"/>
        <w:jc w:val="center"/>
        <w:rPr>
          <w:u w:val="single"/>
        </w:rPr>
      </w:pPr>
      <w:r w:rsidRPr="00750478">
        <w:rPr>
          <w:u w:val="single"/>
        </w:rPr>
        <w:t>Fundamentos y antecedentes</w:t>
      </w:r>
    </w:p>
    <w:p w:rsidR="009A231B" w:rsidRDefault="009A231B" w:rsidP="00F60100">
      <w:pPr>
        <w:spacing w:after="0" w:line="276" w:lineRule="auto"/>
        <w:ind w:right="-149"/>
        <w:jc w:val="center"/>
        <w:rPr>
          <w:u w:val="single"/>
        </w:rPr>
      </w:pPr>
    </w:p>
    <w:p w:rsidR="009A231B" w:rsidRDefault="009A231B" w:rsidP="00F60100">
      <w:pPr>
        <w:spacing w:after="0" w:line="276" w:lineRule="auto"/>
        <w:ind w:right="-149"/>
        <w:jc w:val="center"/>
        <w:rPr>
          <w:u w:val="single"/>
        </w:rPr>
      </w:pPr>
    </w:p>
    <w:p w:rsidR="009A231B" w:rsidRPr="009A231B" w:rsidRDefault="009A231B" w:rsidP="00F60100">
      <w:pPr>
        <w:spacing w:after="0" w:line="276" w:lineRule="auto"/>
        <w:ind w:right="-149" w:firstLine="708"/>
        <w:jc w:val="both"/>
      </w:pPr>
      <w:r w:rsidRPr="009A231B">
        <w:t>Chile, al igual que muchos otros países, atraviesa por una crítica alerta sanitaria a raíz de la propagación del virus SARSCoV2 y de la enfermedad COVID19</w:t>
      </w:r>
      <w:r>
        <w:t>, la</w:t>
      </w:r>
      <w:r w:rsidRPr="009A231B">
        <w:t xml:space="preserve"> que ha motivado, además, la dictación de un estado de catástrofe en todo el territorio nacional. </w:t>
      </w:r>
    </w:p>
    <w:p w:rsidR="009A231B" w:rsidRPr="009A231B" w:rsidRDefault="009A231B" w:rsidP="00F60100">
      <w:pPr>
        <w:spacing w:after="0" w:line="276" w:lineRule="auto"/>
        <w:ind w:right="-149"/>
        <w:jc w:val="both"/>
      </w:pPr>
    </w:p>
    <w:p w:rsidR="009A231B" w:rsidRPr="009A231B" w:rsidRDefault="009A231B" w:rsidP="00F60100">
      <w:pPr>
        <w:spacing w:after="0" w:line="276" w:lineRule="auto"/>
        <w:ind w:right="-149"/>
        <w:jc w:val="both"/>
      </w:pPr>
      <w:r w:rsidRPr="009A231B">
        <w:tab/>
        <w:t xml:space="preserve">La extensión de esta situación ha originado y sin duda originará, no sólo un lamentable costo a nivel de vidas e integridad de las ciudadanas y ciudadanos, sino que también un freno y recesión en el crecimiento económico que, si bien a primeras luces no es lo más relevante, debe acoplarse con las necesidades económicas y de servicios que todas las personas requerimos para poder vivir de manera normal. </w:t>
      </w:r>
    </w:p>
    <w:p w:rsidR="009A231B" w:rsidRPr="009A231B" w:rsidRDefault="009A231B" w:rsidP="00F60100">
      <w:pPr>
        <w:spacing w:after="0" w:line="276" w:lineRule="auto"/>
        <w:ind w:right="-149"/>
        <w:jc w:val="both"/>
      </w:pPr>
    </w:p>
    <w:p w:rsidR="009A231B" w:rsidRPr="009A231B" w:rsidRDefault="009A231B" w:rsidP="00F60100">
      <w:pPr>
        <w:spacing w:after="0" w:line="276" w:lineRule="auto"/>
        <w:ind w:right="-149"/>
        <w:jc w:val="both"/>
      </w:pPr>
      <w:r w:rsidRPr="009A231B">
        <w:tab/>
        <w:t xml:space="preserve">Lógicamente, vinculado a lo anterior, se encuentra el hecho de necesitar servicios básicos como luz, agua, gas y de telecomunicaciones, así como la obligación de pagarlos. </w:t>
      </w:r>
      <w:r>
        <w:t>Hoy por hoy, e</w:t>
      </w:r>
      <w:r w:rsidRPr="009A231B">
        <w:t xml:space="preserve">sto produce un gran problema, ya que muchas personas verán mermados sus ingresos y no podrán hacer frente a tales obligaciones, mientras en paralelo son de total necesidad incluso en el contexto de los requerimientos sanitarios (tener agua potable, alcantarillado, etc.) Asimismo, el pago de estos servicios se continúa haciendo mayoritariamente de manera presencial, lo que genera filas y aglomeraciones de personas, lo que va directamente en contra de las medidas de “distanciamiento social” que se aconsejan como esenciales para enfrentar el virus. </w:t>
      </w:r>
    </w:p>
    <w:p w:rsidR="009A231B" w:rsidRPr="009A231B" w:rsidRDefault="009A231B" w:rsidP="00F60100">
      <w:pPr>
        <w:spacing w:after="0" w:line="276" w:lineRule="auto"/>
        <w:ind w:right="-149"/>
        <w:jc w:val="both"/>
      </w:pPr>
    </w:p>
    <w:p w:rsidR="009A231B" w:rsidRDefault="009A231B" w:rsidP="00F60100">
      <w:pPr>
        <w:spacing w:after="0" w:line="276" w:lineRule="auto"/>
        <w:ind w:right="-149"/>
        <w:jc w:val="both"/>
      </w:pPr>
      <w:r w:rsidRPr="009A231B">
        <w:tab/>
        <w:t xml:space="preserve">En atención a ambas situaciones, muchos países alrededor del mundo han adoptado la medida de aplazar por un período determinado de tiempo el pago de estas obligaciones, permitiendo la continuidad del suministro en beneficio de la población y evitándose así los efectos no deseados de su cobro inmediato, que son la imposibilidad de muchas personas para cargar con esas deudas y los elementos negativos de su forma de pago. </w:t>
      </w:r>
    </w:p>
    <w:p w:rsidR="009A231B" w:rsidRDefault="009A231B" w:rsidP="00F60100">
      <w:pPr>
        <w:spacing w:after="0" w:line="276" w:lineRule="auto"/>
        <w:ind w:right="-149"/>
        <w:jc w:val="both"/>
      </w:pPr>
    </w:p>
    <w:p w:rsidR="009A231B" w:rsidRPr="009A231B" w:rsidRDefault="009A231B" w:rsidP="00F60100">
      <w:pPr>
        <w:spacing w:after="0" w:line="276" w:lineRule="auto"/>
        <w:ind w:right="-149"/>
        <w:jc w:val="both"/>
      </w:pPr>
      <w:r>
        <w:tab/>
        <w:t>Creemos que es necesario replicar en nuestro país esta medida, tanto para ayudar la situación económica de los hogares, como para permitir el cumplimiento de las medidas sanitarias que son exigidas.</w:t>
      </w:r>
    </w:p>
    <w:p w:rsidR="009A231B" w:rsidRPr="009A231B" w:rsidRDefault="009A231B" w:rsidP="00F60100">
      <w:pPr>
        <w:spacing w:after="0" w:line="276" w:lineRule="auto"/>
        <w:ind w:right="-149"/>
        <w:jc w:val="both"/>
      </w:pPr>
    </w:p>
    <w:p w:rsidR="009A231B" w:rsidRPr="009A231B" w:rsidRDefault="009A231B" w:rsidP="00F60100">
      <w:pPr>
        <w:spacing w:after="0" w:line="276" w:lineRule="auto"/>
        <w:ind w:right="-149" w:firstLine="708"/>
        <w:jc w:val="both"/>
      </w:pPr>
      <w:r w:rsidRPr="009A231B">
        <w:t>En adición a lo propuesto, es necesario también establecer un impedimento para el corte en caso de atraso de deudas, ya que el contar con suministro de estos importantes recursos resguarda el aspecto sanitario que hoy debemos proteger.</w:t>
      </w:r>
    </w:p>
    <w:p w:rsidR="00B756E0" w:rsidRDefault="00B756E0" w:rsidP="00F60100">
      <w:pPr>
        <w:spacing w:after="0" w:line="276" w:lineRule="auto"/>
        <w:ind w:right="-149"/>
        <w:jc w:val="both"/>
        <w:rPr>
          <w:u w:val="single"/>
        </w:rPr>
      </w:pPr>
    </w:p>
    <w:p w:rsidR="00517B5D" w:rsidRDefault="00517B5D" w:rsidP="00F60100">
      <w:pPr>
        <w:spacing w:after="0" w:line="276" w:lineRule="auto"/>
        <w:ind w:right="-149"/>
        <w:jc w:val="both"/>
      </w:pPr>
    </w:p>
    <w:p w:rsidR="004C5548" w:rsidRDefault="008A1156" w:rsidP="00F60100">
      <w:pPr>
        <w:spacing w:after="0" w:line="276" w:lineRule="auto"/>
        <w:ind w:right="-149"/>
        <w:jc w:val="center"/>
        <w:rPr>
          <w:u w:val="single"/>
        </w:rPr>
      </w:pPr>
      <w:r>
        <w:rPr>
          <w:u w:val="single"/>
        </w:rPr>
        <w:t>Idea Matriz</w:t>
      </w:r>
    </w:p>
    <w:p w:rsidR="00C8799B" w:rsidRDefault="00C8799B" w:rsidP="00F60100">
      <w:pPr>
        <w:spacing w:after="0" w:line="276" w:lineRule="auto"/>
        <w:ind w:right="-149"/>
        <w:rPr>
          <w:u w:val="single"/>
        </w:rPr>
      </w:pPr>
    </w:p>
    <w:p w:rsidR="00517B5D" w:rsidRDefault="00517B5D" w:rsidP="00F60100">
      <w:pPr>
        <w:spacing w:after="0" w:line="276" w:lineRule="auto"/>
        <w:ind w:right="-149"/>
        <w:rPr>
          <w:u w:val="single"/>
        </w:rPr>
      </w:pPr>
    </w:p>
    <w:p w:rsidR="00517B5D" w:rsidRDefault="00C8799B" w:rsidP="00F60100">
      <w:pPr>
        <w:spacing w:after="0" w:line="276" w:lineRule="auto"/>
        <w:ind w:right="-149"/>
        <w:jc w:val="both"/>
      </w:pPr>
      <w:r>
        <w:tab/>
        <w:t xml:space="preserve">El presente proyecto de ley </w:t>
      </w:r>
      <w:r w:rsidR="008B4DED">
        <w:t xml:space="preserve">busca imponer a las empresas de servicios públicos concesionados y/o regulados, la obligación de suspender el pago de las cuentas de consumo de dichos servicios por un plazo transitorio de </w:t>
      </w:r>
      <w:r w:rsidR="00446775">
        <w:t>tres</w:t>
      </w:r>
      <w:r w:rsidR="008B4DED">
        <w:t xml:space="preserve"> meses, disponiendo asimismo la prohibición en el corte del suministro por igual plazo. </w:t>
      </w:r>
    </w:p>
    <w:p w:rsidR="008B4DED" w:rsidRDefault="008B4DED" w:rsidP="00F60100">
      <w:pPr>
        <w:spacing w:after="0" w:line="276" w:lineRule="auto"/>
        <w:ind w:right="-149"/>
        <w:jc w:val="both"/>
      </w:pPr>
    </w:p>
    <w:p w:rsidR="000D2B29" w:rsidRDefault="000D2B29" w:rsidP="00F60100">
      <w:pPr>
        <w:spacing w:after="0" w:line="276" w:lineRule="auto"/>
        <w:ind w:right="-149"/>
      </w:pPr>
    </w:p>
    <w:p w:rsidR="00BE17F0" w:rsidRDefault="00BE17F0" w:rsidP="00F60100">
      <w:pPr>
        <w:spacing w:after="0" w:line="276" w:lineRule="auto"/>
        <w:ind w:right="-149"/>
        <w:jc w:val="center"/>
        <w:rPr>
          <w:u w:val="single"/>
        </w:rPr>
      </w:pPr>
      <w:r>
        <w:rPr>
          <w:u w:val="single"/>
        </w:rPr>
        <w:t>Proyecto de ley</w:t>
      </w:r>
    </w:p>
    <w:p w:rsidR="000D2B29" w:rsidRDefault="000D2B29" w:rsidP="00F60100">
      <w:pPr>
        <w:spacing w:after="0" w:line="276" w:lineRule="auto"/>
        <w:ind w:right="-149"/>
        <w:jc w:val="center"/>
        <w:rPr>
          <w:u w:val="single"/>
        </w:rPr>
      </w:pPr>
    </w:p>
    <w:p w:rsidR="000D2B29" w:rsidRDefault="000D2B29" w:rsidP="00F60100">
      <w:pPr>
        <w:spacing w:after="0" w:line="276" w:lineRule="auto"/>
        <w:ind w:right="-149"/>
        <w:jc w:val="center"/>
        <w:rPr>
          <w:u w:val="single"/>
        </w:rPr>
      </w:pPr>
    </w:p>
    <w:p w:rsidR="009D089E" w:rsidRDefault="009D089E" w:rsidP="00F60100">
      <w:pPr>
        <w:spacing w:after="0" w:line="276" w:lineRule="auto"/>
        <w:ind w:right="-149"/>
        <w:jc w:val="both"/>
      </w:pPr>
      <w:r>
        <w:rPr>
          <w:b/>
          <w:bCs/>
        </w:rPr>
        <w:t xml:space="preserve">ARTÍCULO ÚNICO: </w:t>
      </w:r>
      <w:bookmarkStart w:id="0" w:name="_Hlk35947709"/>
      <w:r w:rsidR="009A231B">
        <w:t>“</w:t>
      </w:r>
      <w:r w:rsidR="009A231B">
        <w:rPr>
          <w:i/>
          <w:iCs/>
        </w:rPr>
        <w:t>Desde la entrada en vigencia de esta ley, por un período de tres meses, las empresas concesionada</w:t>
      </w:r>
      <w:r w:rsidR="002800B8">
        <w:rPr>
          <w:i/>
          <w:iCs/>
        </w:rPr>
        <w:t>s</w:t>
      </w:r>
      <w:r w:rsidR="009A231B">
        <w:rPr>
          <w:i/>
          <w:iCs/>
        </w:rPr>
        <w:t xml:space="preserve"> y/o reguladas de suministro de servicios públicos, como son electricidad, luz, agua y telecomunicaciones, incluido en este último el servicio de internet, deberán suspender el cobro en el pago de las cuentas de consumo que se hayan generado para todos sus clientes</w:t>
      </w:r>
      <w:r w:rsidR="009A231B">
        <w:t>.</w:t>
      </w:r>
    </w:p>
    <w:p w:rsidR="009A231B" w:rsidRDefault="009A231B" w:rsidP="00F60100">
      <w:pPr>
        <w:spacing w:after="0" w:line="276" w:lineRule="auto"/>
        <w:ind w:right="-149"/>
        <w:jc w:val="both"/>
      </w:pPr>
    </w:p>
    <w:p w:rsidR="00F60100" w:rsidRDefault="009A231B" w:rsidP="00F60100">
      <w:pPr>
        <w:spacing w:after="0" w:line="276" w:lineRule="auto"/>
        <w:ind w:right="-149"/>
        <w:jc w:val="both"/>
        <w:rPr>
          <w:i/>
          <w:iCs/>
        </w:rPr>
      </w:pPr>
      <w:r>
        <w:rPr>
          <w:i/>
          <w:iCs/>
        </w:rPr>
        <w:t xml:space="preserve">Asimismo, por idéntico plazo, estarán imposibilitadas de disponer el corte de suministro ante </w:t>
      </w:r>
      <w:r w:rsidR="002800B8">
        <w:rPr>
          <w:i/>
          <w:iCs/>
        </w:rPr>
        <w:t>la mora en el pago de cuentas, cualquiera sea la entidad o duración de esta</w:t>
      </w:r>
      <w:r w:rsidR="00F60100">
        <w:rPr>
          <w:i/>
          <w:iCs/>
        </w:rPr>
        <w:t>".</w:t>
      </w:r>
    </w:p>
    <w:p w:rsidR="009A231B" w:rsidRPr="002800B8" w:rsidRDefault="00446775" w:rsidP="00F60100">
      <w:pPr>
        <w:spacing w:after="0" w:line="276" w:lineRule="auto"/>
        <w:ind w:right="-149"/>
        <w:jc w:val="both"/>
      </w:pPr>
      <w:r>
        <w:rPr>
          <w:i/>
          <w:iCs/>
        </w:rPr>
        <w:t>.</w:t>
      </w:r>
      <w:r w:rsidR="002800B8">
        <w:t>”</w:t>
      </w:r>
    </w:p>
    <w:bookmarkEnd w:id="0"/>
    <w:p w:rsidR="00D4529C" w:rsidRDefault="00D4529C" w:rsidP="00F60100">
      <w:pPr>
        <w:spacing w:after="0" w:line="276" w:lineRule="auto"/>
        <w:ind w:right="-149"/>
        <w:jc w:val="center"/>
        <w:rPr>
          <w:u w:val="single"/>
        </w:rPr>
      </w:pPr>
    </w:p>
    <w:p w:rsidR="006C1C65" w:rsidRDefault="006C1C65" w:rsidP="00F60100">
      <w:pPr>
        <w:spacing w:after="0" w:line="276" w:lineRule="auto"/>
        <w:ind w:right="-149"/>
        <w:jc w:val="center"/>
      </w:pPr>
    </w:p>
    <w:p w:rsidR="009D089E" w:rsidRDefault="009D089E" w:rsidP="00F60100">
      <w:pPr>
        <w:spacing w:after="0" w:line="240" w:lineRule="auto"/>
        <w:ind w:right="-149"/>
      </w:pPr>
    </w:p>
    <w:p w:rsidR="000D1B02" w:rsidRDefault="009D089E" w:rsidP="00F60100">
      <w:pPr>
        <w:spacing w:after="0" w:line="240" w:lineRule="auto"/>
        <w:ind w:right="-149"/>
        <w:jc w:val="center"/>
      </w:pPr>
      <w:r>
        <w:t>_______________________________</w:t>
      </w:r>
    </w:p>
    <w:p w:rsidR="00BE17F0" w:rsidRDefault="002800B8" w:rsidP="00F60100">
      <w:pPr>
        <w:spacing w:after="0" w:line="240" w:lineRule="auto"/>
        <w:ind w:right="-149"/>
        <w:jc w:val="center"/>
        <w:rPr>
          <w:b/>
        </w:rPr>
      </w:pPr>
      <w:r>
        <w:rPr>
          <w:b/>
        </w:rPr>
        <w:t xml:space="preserve">ANDRÉS LONGTON HERRERA </w:t>
      </w:r>
    </w:p>
    <w:p w:rsidR="00E80601" w:rsidRDefault="006C1C65" w:rsidP="00F60100">
      <w:pPr>
        <w:spacing w:after="0" w:line="240" w:lineRule="auto"/>
        <w:ind w:right="-149"/>
        <w:jc w:val="center"/>
      </w:pPr>
      <w:r>
        <w:t>Diputado</w:t>
      </w:r>
    </w:p>
    <w:p w:rsidR="002800B8" w:rsidRDefault="002800B8" w:rsidP="00F60100">
      <w:pPr>
        <w:spacing w:after="0" w:line="240" w:lineRule="auto"/>
        <w:ind w:right="-149"/>
        <w:jc w:val="center"/>
      </w:pPr>
    </w:p>
    <w:p w:rsidR="002800B8" w:rsidRDefault="002800B8" w:rsidP="00F60100">
      <w:pPr>
        <w:spacing w:after="0" w:line="240" w:lineRule="auto"/>
        <w:ind w:right="-149"/>
        <w:jc w:val="center"/>
      </w:pPr>
    </w:p>
    <w:p w:rsidR="002800B8" w:rsidRDefault="002800B8" w:rsidP="00F60100">
      <w:pPr>
        <w:spacing w:after="0" w:line="240" w:lineRule="auto"/>
        <w:ind w:right="-149"/>
        <w:jc w:val="center"/>
      </w:pPr>
      <w:bookmarkStart w:id="1" w:name="_GoBack"/>
      <w:bookmarkEnd w:id="1"/>
    </w:p>
    <w:p w:rsidR="002800B8" w:rsidRDefault="002800B8" w:rsidP="00F60100">
      <w:pPr>
        <w:spacing w:after="0" w:line="240" w:lineRule="auto"/>
        <w:ind w:right="-149"/>
        <w:jc w:val="center"/>
      </w:pPr>
      <w:r>
        <w:t>_______________________________</w:t>
      </w:r>
    </w:p>
    <w:p w:rsidR="002800B8" w:rsidRDefault="002800B8" w:rsidP="00F60100">
      <w:pPr>
        <w:spacing w:after="0" w:line="240" w:lineRule="auto"/>
        <w:ind w:right="-149"/>
        <w:jc w:val="center"/>
        <w:rPr>
          <w:b/>
        </w:rPr>
      </w:pPr>
      <w:r>
        <w:rPr>
          <w:b/>
        </w:rPr>
        <w:t>FRANCISCO EGUIGUREN CORREA</w:t>
      </w:r>
    </w:p>
    <w:p w:rsidR="002800B8" w:rsidRDefault="002800B8" w:rsidP="00F60100">
      <w:pPr>
        <w:spacing w:after="0" w:line="240" w:lineRule="auto"/>
        <w:ind w:right="-149"/>
        <w:jc w:val="center"/>
      </w:pPr>
      <w:r>
        <w:t>Diputado</w:t>
      </w:r>
    </w:p>
    <w:p w:rsidR="002800B8" w:rsidRDefault="002800B8" w:rsidP="00F60100">
      <w:pPr>
        <w:spacing w:after="0" w:line="240" w:lineRule="auto"/>
        <w:ind w:right="-149"/>
        <w:jc w:val="center"/>
      </w:pPr>
    </w:p>
    <w:p w:rsidR="002800B8" w:rsidRDefault="002800B8" w:rsidP="00F60100">
      <w:pPr>
        <w:spacing w:after="0" w:line="240" w:lineRule="auto"/>
        <w:ind w:right="-149"/>
        <w:jc w:val="center"/>
      </w:pPr>
    </w:p>
    <w:p w:rsidR="002800B8" w:rsidRDefault="002800B8" w:rsidP="00F60100">
      <w:pPr>
        <w:spacing w:after="0" w:line="240" w:lineRule="auto"/>
        <w:ind w:right="-149"/>
        <w:jc w:val="center"/>
      </w:pPr>
    </w:p>
    <w:p w:rsidR="002800B8" w:rsidRDefault="002800B8" w:rsidP="00F60100">
      <w:pPr>
        <w:spacing w:after="0" w:line="240" w:lineRule="auto"/>
        <w:ind w:right="-149"/>
        <w:jc w:val="center"/>
      </w:pPr>
      <w:r>
        <w:t>_______________________________</w:t>
      </w:r>
    </w:p>
    <w:p w:rsidR="002800B8" w:rsidRDefault="002800B8" w:rsidP="00F60100">
      <w:pPr>
        <w:spacing w:after="0" w:line="240" w:lineRule="auto"/>
        <w:ind w:right="-149"/>
        <w:jc w:val="center"/>
        <w:rPr>
          <w:b/>
        </w:rPr>
      </w:pPr>
      <w:r>
        <w:rPr>
          <w:b/>
        </w:rPr>
        <w:t xml:space="preserve">FRANK SAUERBAUM MUÑOZ </w:t>
      </w:r>
    </w:p>
    <w:p w:rsidR="002800B8" w:rsidRDefault="002800B8" w:rsidP="00F60100">
      <w:pPr>
        <w:spacing w:after="0" w:line="240" w:lineRule="auto"/>
        <w:ind w:right="-149"/>
        <w:jc w:val="center"/>
      </w:pPr>
      <w:r>
        <w:t>Diputado</w:t>
      </w:r>
    </w:p>
    <w:p w:rsidR="002800B8" w:rsidRDefault="002800B8" w:rsidP="00F60100">
      <w:pPr>
        <w:spacing w:after="0" w:line="240" w:lineRule="auto"/>
        <w:ind w:right="-149"/>
        <w:jc w:val="center"/>
      </w:pPr>
    </w:p>
    <w:p w:rsidR="002800B8" w:rsidRDefault="002800B8" w:rsidP="00F60100">
      <w:pPr>
        <w:spacing w:after="0" w:line="240" w:lineRule="auto"/>
        <w:ind w:right="-149"/>
        <w:jc w:val="center"/>
      </w:pPr>
    </w:p>
    <w:p w:rsidR="002800B8" w:rsidRDefault="002800B8" w:rsidP="00F60100">
      <w:pPr>
        <w:spacing w:after="0" w:line="240" w:lineRule="auto"/>
        <w:ind w:right="-149"/>
        <w:jc w:val="center"/>
      </w:pPr>
    </w:p>
    <w:p w:rsidR="002800B8" w:rsidRDefault="002800B8" w:rsidP="00F60100">
      <w:pPr>
        <w:spacing w:after="0" w:line="240" w:lineRule="auto"/>
        <w:ind w:right="-149"/>
        <w:jc w:val="center"/>
      </w:pPr>
      <w:r>
        <w:t>_______________________________</w:t>
      </w:r>
    </w:p>
    <w:p w:rsidR="002800B8" w:rsidRDefault="002800B8" w:rsidP="00F60100">
      <w:pPr>
        <w:spacing w:after="0" w:line="240" w:lineRule="auto"/>
        <w:ind w:right="-149"/>
        <w:jc w:val="center"/>
        <w:rPr>
          <w:b/>
        </w:rPr>
      </w:pPr>
      <w:r>
        <w:rPr>
          <w:b/>
        </w:rPr>
        <w:t>PABLO PRIETO LORCA</w:t>
      </w:r>
    </w:p>
    <w:p w:rsidR="002800B8" w:rsidRPr="00750478" w:rsidRDefault="002800B8" w:rsidP="00F60100">
      <w:pPr>
        <w:spacing w:after="0" w:line="240" w:lineRule="auto"/>
        <w:ind w:right="-149"/>
        <w:jc w:val="center"/>
      </w:pPr>
      <w:r>
        <w:t>Diputado</w:t>
      </w:r>
    </w:p>
    <w:sectPr w:rsidR="002800B8" w:rsidRPr="00750478" w:rsidSect="00037F11">
      <w:pgSz w:w="12240" w:h="15840"/>
      <w:pgMar w:top="1304" w:right="1304" w:bottom="130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311" w:rsidRDefault="00457311" w:rsidP="00A82A1A">
      <w:pPr>
        <w:spacing w:after="0" w:line="240" w:lineRule="auto"/>
      </w:pPr>
      <w:r>
        <w:separator/>
      </w:r>
    </w:p>
  </w:endnote>
  <w:endnote w:type="continuationSeparator" w:id="0">
    <w:p w:rsidR="00457311" w:rsidRDefault="00457311" w:rsidP="00A82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311" w:rsidRDefault="00457311" w:rsidP="00A82A1A">
      <w:pPr>
        <w:spacing w:after="0" w:line="240" w:lineRule="auto"/>
      </w:pPr>
      <w:r>
        <w:separator/>
      </w:r>
    </w:p>
  </w:footnote>
  <w:footnote w:type="continuationSeparator" w:id="0">
    <w:p w:rsidR="00457311" w:rsidRDefault="00457311" w:rsidP="00A82A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E5D"/>
    <w:multiLevelType w:val="hybridMultilevel"/>
    <w:tmpl w:val="4ACA7C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077357F"/>
    <w:multiLevelType w:val="hybridMultilevel"/>
    <w:tmpl w:val="41F0F1AE"/>
    <w:lvl w:ilvl="0" w:tplc="0FC4540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29029CA"/>
    <w:multiLevelType w:val="hybridMultilevel"/>
    <w:tmpl w:val="44560C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7034DAE"/>
    <w:multiLevelType w:val="hybridMultilevel"/>
    <w:tmpl w:val="FD822366"/>
    <w:lvl w:ilvl="0" w:tplc="C0E48A9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FC25640"/>
    <w:multiLevelType w:val="hybridMultilevel"/>
    <w:tmpl w:val="26283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07D6507"/>
    <w:multiLevelType w:val="hybridMultilevel"/>
    <w:tmpl w:val="B92438A0"/>
    <w:lvl w:ilvl="0" w:tplc="B9325156">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EB27E25"/>
    <w:multiLevelType w:val="hybridMultilevel"/>
    <w:tmpl w:val="151049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6856A1C"/>
    <w:multiLevelType w:val="hybridMultilevel"/>
    <w:tmpl w:val="4E4084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6A24115"/>
    <w:multiLevelType w:val="hybridMultilevel"/>
    <w:tmpl w:val="1FBCB77C"/>
    <w:lvl w:ilvl="0" w:tplc="98F4444A">
      <w:start w:val="1"/>
      <w:numFmt w:val="decimal"/>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AA94A8B"/>
    <w:multiLevelType w:val="hybridMultilevel"/>
    <w:tmpl w:val="6FA20E30"/>
    <w:lvl w:ilvl="0" w:tplc="2E96815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6C314C1"/>
    <w:multiLevelType w:val="hybridMultilevel"/>
    <w:tmpl w:val="1102C3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F5A1358"/>
    <w:multiLevelType w:val="hybridMultilevel"/>
    <w:tmpl w:val="E654D39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0A5475A"/>
    <w:multiLevelType w:val="hybridMultilevel"/>
    <w:tmpl w:val="6B1A53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A7D5ED8"/>
    <w:multiLevelType w:val="hybridMultilevel"/>
    <w:tmpl w:val="8EA03586"/>
    <w:lvl w:ilvl="0" w:tplc="340A000F">
      <w:start w:val="1"/>
      <w:numFmt w:val="decimal"/>
      <w:lvlText w:val="%1."/>
      <w:lvlJc w:val="left"/>
      <w:pPr>
        <w:ind w:left="720" w:hanging="360"/>
      </w:pPr>
      <w:rPr>
        <w:rFonts w:hint="default"/>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C9B1A44"/>
    <w:multiLevelType w:val="hybridMultilevel"/>
    <w:tmpl w:val="31D2C7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4"/>
  </w:num>
  <w:num w:numId="3">
    <w:abstractNumId w:val="1"/>
  </w:num>
  <w:num w:numId="4">
    <w:abstractNumId w:val="3"/>
  </w:num>
  <w:num w:numId="5">
    <w:abstractNumId w:val="9"/>
  </w:num>
  <w:num w:numId="6">
    <w:abstractNumId w:val="11"/>
  </w:num>
  <w:num w:numId="7">
    <w:abstractNumId w:val="2"/>
  </w:num>
  <w:num w:numId="8">
    <w:abstractNumId w:val="8"/>
  </w:num>
  <w:num w:numId="9">
    <w:abstractNumId w:val="6"/>
  </w:num>
  <w:num w:numId="10">
    <w:abstractNumId w:val="0"/>
  </w:num>
  <w:num w:numId="11">
    <w:abstractNumId w:val="13"/>
  </w:num>
  <w:num w:numId="12">
    <w:abstractNumId w:val="12"/>
  </w:num>
  <w:num w:numId="13">
    <w:abstractNumId w:val="7"/>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50478"/>
    <w:rsid w:val="00037F11"/>
    <w:rsid w:val="00046B82"/>
    <w:rsid w:val="0005167C"/>
    <w:rsid w:val="0005249C"/>
    <w:rsid w:val="00061406"/>
    <w:rsid w:val="000642DB"/>
    <w:rsid w:val="000A3585"/>
    <w:rsid w:val="000C2834"/>
    <w:rsid w:val="000D1B02"/>
    <w:rsid w:val="000D2B29"/>
    <w:rsid w:val="00105C00"/>
    <w:rsid w:val="001552BA"/>
    <w:rsid w:val="00170710"/>
    <w:rsid w:val="00185F8A"/>
    <w:rsid w:val="001C26BB"/>
    <w:rsid w:val="001D30D2"/>
    <w:rsid w:val="001E2ABB"/>
    <w:rsid w:val="00203B2E"/>
    <w:rsid w:val="00246A56"/>
    <w:rsid w:val="00251FD7"/>
    <w:rsid w:val="00252F31"/>
    <w:rsid w:val="002631B2"/>
    <w:rsid w:val="002707C2"/>
    <w:rsid w:val="002800B8"/>
    <w:rsid w:val="002C1D2C"/>
    <w:rsid w:val="002D0D64"/>
    <w:rsid w:val="00301C83"/>
    <w:rsid w:val="00312B81"/>
    <w:rsid w:val="00352503"/>
    <w:rsid w:val="00353E62"/>
    <w:rsid w:val="00364B0C"/>
    <w:rsid w:val="003776B8"/>
    <w:rsid w:val="00393355"/>
    <w:rsid w:val="003E46BB"/>
    <w:rsid w:val="004165B8"/>
    <w:rsid w:val="00430A8D"/>
    <w:rsid w:val="00446775"/>
    <w:rsid w:val="00452FC0"/>
    <w:rsid w:val="00457311"/>
    <w:rsid w:val="004630C4"/>
    <w:rsid w:val="0048123D"/>
    <w:rsid w:val="00484EF0"/>
    <w:rsid w:val="00491748"/>
    <w:rsid w:val="004A3B85"/>
    <w:rsid w:val="004B6B91"/>
    <w:rsid w:val="004C5548"/>
    <w:rsid w:val="004F76A3"/>
    <w:rsid w:val="005026FE"/>
    <w:rsid w:val="00511F51"/>
    <w:rsid w:val="00517B5D"/>
    <w:rsid w:val="00567F9D"/>
    <w:rsid w:val="00591B62"/>
    <w:rsid w:val="005B4841"/>
    <w:rsid w:val="00611E3E"/>
    <w:rsid w:val="00627BEC"/>
    <w:rsid w:val="006352DC"/>
    <w:rsid w:val="0064785A"/>
    <w:rsid w:val="00656136"/>
    <w:rsid w:val="0067452C"/>
    <w:rsid w:val="00695A99"/>
    <w:rsid w:val="006C1C65"/>
    <w:rsid w:val="006C7A52"/>
    <w:rsid w:val="006D4783"/>
    <w:rsid w:val="006D6184"/>
    <w:rsid w:val="006E3ED8"/>
    <w:rsid w:val="006F02B7"/>
    <w:rsid w:val="006F380B"/>
    <w:rsid w:val="00706D98"/>
    <w:rsid w:val="00707C2D"/>
    <w:rsid w:val="00721985"/>
    <w:rsid w:val="00750478"/>
    <w:rsid w:val="00765505"/>
    <w:rsid w:val="007951FE"/>
    <w:rsid w:val="007C5B1B"/>
    <w:rsid w:val="0081150E"/>
    <w:rsid w:val="0081406D"/>
    <w:rsid w:val="00824D2B"/>
    <w:rsid w:val="00842410"/>
    <w:rsid w:val="00863DA9"/>
    <w:rsid w:val="008713CD"/>
    <w:rsid w:val="0087337D"/>
    <w:rsid w:val="00884178"/>
    <w:rsid w:val="00886CC2"/>
    <w:rsid w:val="008952DB"/>
    <w:rsid w:val="008A094F"/>
    <w:rsid w:val="008A1156"/>
    <w:rsid w:val="008A1CD7"/>
    <w:rsid w:val="008A511D"/>
    <w:rsid w:val="008B4DED"/>
    <w:rsid w:val="008B7DEA"/>
    <w:rsid w:val="008C0636"/>
    <w:rsid w:val="008D2979"/>
    <w:rsid w:val="00916261"/>
    <w:rsid w:val="009359E7"/>
    <w:rsid w:val="0094525A"/>
    <w:rsid w:val="00951A16"/>
    <w:rsid w:val="00952BC5"/>
    <w:rsid w:val="00965D8B"/>
    <w:rsid w:val="00966653"/>
    <w:rsid w:val="00967FB3"/>
    <w:rsid w:val="00973DB9"/>
    <w:rsid w:val="00977EEE"/>
    <w:rsid w:val="009914ED"/>
    <w:rsid w:val="00993E75"/>
    <w:rsid w:val="009A231B"/>
    <w:rsid w:val="009D089E"/>
    <w:rsid w:val="009E1CA9"/>
    <w:rsid w:val="009E3A0D"/>
    <w:rsid w:val="00A224C1"/>
    <w:rsid w:val="00A325AA"/>
    <w:rsid w:val="00A63219"/>
    <w:rsid w:val="00A72795"/>
    <w:rsid w:val="00A76FDB"/>
    <w:rsid w:val="00A82A1A"/>
    <w:rsid w:val="00A87A6F"/>
    <w:rsid w:val="00A96167"/>
    <w:rsid w:val="00A97181"/>
    <w:rsid w:val="00AC6ACF"/>
    <w:rsid w:val="00AD2D14"/>
    <w:rsid w:val="00AE3B7B"/>
    <w:rsid w:val="00B0404F"/>
    <w:rsid w:val="00B13367"/>
    <w:rsid w:val="00B220D8"/>
    <w:rsid w:val="00B220F1"/>
    <w:rsid w:val="00B25CDC"/>
    <w:rsid w:val="00B272B8"/>
    <w:rsid w:val="00B36FAC"/>
    <w:rsid w:val="00B473A3"/>
    <w:rsid w:val="00B53ED9"/>
    <w:rsid w:val="00B624AE"/>
    <w:rsid w:val="00B70FA5"/>
    <w:rsid w:val="00B756E0"/>
    <w:rsid w:val="00B87754"/>
    <w:rsid w:val="00B93481"/>
    <w:rsid w:val="00BC4638"/>
    <w:rsid w:val="00BD7FA3"/>
    <w:rsid w:val="00BE17F0"/>
    <w:rsid w:val="00C0579D"/>
    <w:rsid w:val="00C13155"/>
    <w:rsid w:val="00C13A4D"/>
    <w:rsid w:val="00C27834"/>
    <w:rsid w:val="00C52EF0"/>
    <w:rsid w:val="00C565AE"/>
    <w:rsid w:val="00C8026F"/>
    <w:rsid w:val="00C8799B"/>
    <w:rsid w:val="00C938C3"/>
    <w:rsid w:val="00C94C66"/>
    <w:rsid w:val="00CB0AB6"/>
    <w:rsid w:val="00CD1D33"/>
    <w:rsid w:val="00CE3D54"/>
    <w:rsid w:val="00D01FEE"/>
    <w:rsid w:val="00D1230E"/>
    <w:rsid w:val="00D154B0"/>
    <w:rsid w:val="00D243B0"/>
    <w:rsid w:val="00D269BC"/>
    <w:rsid w:val="00D27A6B"/>
    <w:rsid w:val="00D32853"/>
    <w:rsid w:val="00D34AD5"/>
    <w:rsid w:val="00D356C0"/>
    <w:rsid w:val="00D40C53"/>
    <w:rsid w:val="00D4529C"/>
    <w:rsid w:val="00D47C7A"/>
    <w:rsid w:val="00D6621F"/>
    <w:rsid w:val="00D7205E"/>
    <w:rsid w:val="00D94E80"/>
    <w:rsid w:val="00DB1E41"/>
    <w:rsid w:val="00E172BF"/>
    <w:rsid w:val="00E21380"/>
    <w:rsid w:val="00E2661E"/>
    <w:rsid w:val="00E45D02"/>
    <w:rsid w:val="00E50D58"/>
    <w:rsid w:val="00E624DC"/>
    <w:rsid w:val="00E80601"/>
    <w:rsid w:val="00E85418"/>
    <w:rsid w:val="00EA7176"/>
    <w:rsid w:val="00EB0F4D"/>
    <w:rsid w:val="00EC7C9D"/>
    <w:rsid w:val="00EE3866"/>
    <w:rsid w:val="00EF121A"/>
    <w:rsid w:val="00F31666"/>
    <w:rsid w:val="00F32A36"/>
    <w:rsid w:val="00F50EF9"/>
    <w:rsid w:val="00F54286"/>
    <w:rsid w:val="00F60100"/>
    <w:rsid w:val="00F759CF"/>
    <w:rsid w:val="00F82E92"/>
    <w:rsid w:val="00F91AAB"/>
    <w:rsid w:val="00F940E7"/>
    <w:rsid w:val="00FA073A"/>
    <w:rsid w:val="00FC1635"/>
    <w:rsid w:val="00FE025A"/>
    <w:rsid w:val="00FE59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D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82A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2A1A"/>
    <w:rPr>
      <w:sz w:val="20"/>
      <w:szCs w:val="20"/>
    </w:rPr>
  </w:style>
  <w:style w:type="character" w:styleId="Refdenotaalpie">
    <w:name w:val="footnote reference"/>
    <w:basedOn w:val="Fuentedeprrafopredeter"/>
    <w:uiPriority w:val="99"/>
    <w:semiHidden/>
    <w:unhideWhenUsed/>
    <w:rsid w:val="00A82A1A"/>
    <w:rPr>
      <w:vertAlign w:val="superscript"/>
    </w:rPr>
  </w:style>
  <w:style w:type="character" w:styleId="Hipervnculo">
    <w:name w:val="Hyperlink"/>
    <w:basedOn w:val="Fuentedeprrafopredeter"/>
    <w:uiPriority w:val="99"/>
    <w:unhideWhenUsed/>
    <w:rsid w:val="00A82A1A"/>
    <w:rPr>
      <w:color w:val="0563C1" w:themeColor="hyperlink"/>
      <w:u w:val="single"/>
    </w:rPr>
  </w:style>
  <w:style w:type="character" w:customStyle="1" w:styleId="UnresolvedMention">
    <w:name w:val="Unresolved Mention"/>
    <w:basedOn w:val="Fuentedeprrafopredeter"/>
    <w:uiPriority w:val="99"/>
    <w:semiHidden/>
    <w:unhideWhenUsed/>
    <w:rsid w:val="00A82A1A"/>
    <w:rPr>
      <w:color w:val="605E5C"/>
      <w:shd w:val="clear" w:color="auto" w:fill="E1DFDD"/>
    </w:rPr>
  </w:style>
  <w:style w:type="paragraph" w:styleId="Prrafodelista">
    <w:name w:val="List Paragraph"/>
    <w:basedOn w:val="Normal"/>
    <w:uiPriority w:val="34"/>
    <w:qFormat/>
    <w:rsid w:val="00203B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F08B2-4071-4B8B-B316-D144DE26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2479</TotalTime>
  <Pages>2</Pages>
  <Words>581</Words>
  <Characters>3200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Mera Schmidt</dc:creator>
  <cp:keywords/>
  <dc:description/>
  <cp:lastModifiedBy>Guillermo Diaz Vallejos</cp:lastModifiedBy>
  <cp:revision>56</cp:revision>
  <dcterms:created xsi:type="dcterms:W3CDTF">2019-01-23T15:10:00Z</dcterms:created>
  <dcterms:modified xsi:type="dcterms:W3CDTF">2020-03-25T23:43:00Z</dcterms:modified>
</cp:coreProperties>
</file>