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4D" w:rsidRPr="00694727" w:rsidRDefault="00BE614D" w:rsidP="008C449A">
      <w:pPr>
        <w:pStyle w:val="Textoindependiente"/>
        <w:spacing w:line="360" w:lineRule="auto"/>
        <w:ind w:right="-93"/>
        <w:rPr>
          <w:rFonts w:ascii="Arial Narrow" w:hAnsi="Arial Narrow" w:cs="Calibri Light"/>
          <w:bCs/>
          <w:spacing w:val="2"/>
          <w:szCs w:val="24"/>
          <w:u w:val="single"/>
          <w:lang w:val="es-CL"/>
        </w:rPr>
      </w:pPr>
    </w:p>
    <w:p w:rsidR="00BE614D" w:rsidRDefault="000546B9" w:rsidP="000546B9">
      <w:pPr>
        <w:spacing w:line="360" w:lineRule="auto"/>
        <w:jc w:val="both"/>
        <w:rPr>
          <w:b/>
        </w:rPr>
      </w:pPr>
      <w:r w:rsidRPr="000546B9">
        <w:rPr>
          <w:b/>
        </w:rPr>
        <w:t>Modifica la ley N° 19.712, del Deporte, para imponer, a quienes ejerzan funciones al interior de una organización deportiva, la pena accesoria de inhabilitación absoluta perpetua para el desempeño de tales cargos o funciones, en caso de incurrir en los delitos que indica</w:t>
      </w:r>
    </w:p>
    <w:p w:rsidR="000546B9" w:rsidRDefault="000546B9" w:rsidP="000546B9">
      <w:pPr>
        <w:spacing w:line="360" w:lineRule="auto"/>
        <w:jc w:val="center"/>
        <w:rPr>
          <w:b/>
        </w:rPr>
      </w:pPr>
    </w:p>
    <w:p w:rsidR="000546B9" w:rsidRDefault="000546B9" w:rsidP="000546B9">
      <w:pPr>
        <w:spacing w:line="360" w:lineRule="auto"/>
        <w:jc w:val="center"/>
        <w:rPr>
          <w:b/>
        </w:rPr>
      </w:pPr>
      <w:r>
        <w:rPr>
          <w:b/>
        </w:rPr>
        <w:t>Boletín N° 13222-29</w:t>
      </w:r>
    </w:p>
    <w:p w:rsidR="00BE614D" w:rsidRDefault="00BE614D" w:rsidP="008C449A">
      <w:pPr>
        <w:pStyle w:val="Style2"/>
        <w:spacing w:line="360" w:lineRule="auto"/>
        <w:ind w:right="-93"/>
        <w:rPr>
          <w:rStyle w:val="CharacterStyle1"/>
          <w:rFonts w:ascii="Arial Narrow" w:hAnsi="Arial Narrow" w:cs="Calibri Light"/>
          <w:b/>
          <w:bCs/>
          <w:sz w:val="24"/>
          <w:szCs w:val="24"/>
          <w:lang w:val="es-CL"/>
        </w:rPr>
      </w:pPr>
    </w:p>
    <w:p w:rsidR="000546B9" w:rsidRPr="00694727" w:rsidRDefault="000546B9" w:rsidP="008C449A">
      <w:pPr>
        <w:pStyle w:val="Style2"/>
        <w:spacing w:line="360" w:lineRule="auto"/>
        <w:ind w:right="-93"/>
        <w:rPr>
          <w:rStyle w:val="CharacterStyle1"/>
          <w:rFonts w:ascii="Arial Narrow" w:hAnsi="Arial Narrow" w:cs="Calibri Light"/>
          <w:b/>
          <w:bCs/>
          <w:sz w:val="24"/>
          <w:szCs w:val="24"/>
          <w:lang w:val="es-CL"/>
        </w:rPr>
      </w:pPr>
    </w:p>
    <w:p w:rsidR="00BE614D" w:rsidRPr="00694727" w:rsidRDefault="00BE614D" w:rsidP="008C449A">
      <w:pPr>
        <w:pStyle w:val="Style2"/>
        <w:spacing w:line="360" w:lineRule="auto"/>
        <w:ind w:left="1418" w:right="-93"/>
        <w:rPr>
          <w:rStyle w:val="CharacterStyle1"/>
          <w:rFonts w:ascii="Arial Narrow" w:hAnsi="Arial Narrow" w:cs="Calibri Light"/>
          <w:b/>
          <w:bCs/>
          <w:sz w:val="24"/>
          <w:szCs w:val="24"/>
          <w:lang w:val="es-CL"/>
        </w:rPr>
      </w:pPr>
      <w:r w:rsidRPr="00694727">
        <w:rPr>
          <w:rStyle w:val="CharacterStyle1"/>
          <w:rFonts w:ascii="Arial Narrow" w:hAnsi="Arial Narrow" w:cs="Calibri Light"/>
          <w:b/>
          <w:bCs/>
          <w:sz w:val="24"/>
          <w:szCs w:val="24"/>
          <w:lang w:val="es-CL"/>
        </w:rPr>
        <w:t>VISTOS:</w:t>
      </w:r>
    </w:p>
    <w:p w:rsidR="00BE614D" w:rsidRPr="00694727" w:rsidRDefault="00BE614D" w:rsidP="008C449A">
      <w:pPr>
        <w:pStyle w:val="Style2"/>
        <w:spacing w:before="108" w:line="360" w:lineRule="auto"/>
        <w:ind w:left="1418" w:right="-93"/>
        <w:rPr>
          <w:rStyle w:val="CharacterStyle1"/>
          <w:rFonts w:ascii="Arial Narrow" w:hAnsi="Arial Narrow" w:cs="Calibri Light"/>
          <w:sz w:val="24"/>
          <w:szCs w:val="24"/>
          <w:lang w:val="es-CL"/>
        </w:rPr>
      </w:pPr>
      <w:r w:rsidRPr="00694727">
        <w:rPr>
          <w:rStyle w:val="CharacterStyle1"/>
          <w:rFonts w:ascii="Arial Narrow" w:hAnsi="Arial Narrow" w:cs="Calibri Light"/>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BE614D" w:rsidRPr="00694727" w:rsidRDefault="00BE614D" w:rsidP="008C449A">
      <w:pPr>
        <w:pStyle w:val="Style2"/>
        <w:spacing w:before="396" w:line="360" w:lineRule="auto"/>
        <w:ind w:left="1418" w:right="-93"/>
        <w:rPr>
          <w:rStyle w:val="CharacterStyle1"/>
          <w:rFonts w:ascii="Arial Narrow" w:hAnsi="Arial Narrow" w:cs="Calibri Light"/>
          <w:b/>
          <w:bCs/>
          <w:sz w:val="24"/>
          <w:szCs w:val="24"/>
          <w:lang w:val="es-CL"/>
        </w:rPr>
      </w:pPr>
      <w:r w:rsidRPr="00694727">
        <w:rPr>
          <w:rStyle w:val="CharacterStyle1"/>
          <w:rFonts w:ascii="Arial Narrow" w:hAnsi="Arial Narrow" w:cs="Calibri Light"/>
          <w:b/>
          <w:bCs/>
          <w:sz w:val="24"/>
          <w:szCs w:val="24"/>
          <w:lang w:val="es-CL"/>
        </w:rPr>
        <w:t>CONSIDERANDO:</w:t>
      </w:r>
    </w:p>
    <w:p w:rsidR="00BE614D" w:rsidRPr="00694727" w:rsidRDefault="00BE614D" w:rsidP="008C449A">
      <w:pPr>
        <w:pStyle w:val="Style1"/>
        <w:spacing w:before="468" w:line="360" w:lineRule="auto"/>
        <w:ind w:left="1418" w:right="-93" w:hanging="396"/>
        <w:jc w:val="both"/>
        <w:rPr>
          <w:rFonts w:ascii="Arial Narrow" w:hAnsi="Arial Narrow" w:cs="Calibri Light"/>
          <w:spacing w:val="15"/>
          <w:sz w:val="24"/>
          <w:szCs w:val="24"/>
          <w:lang w:val="es-CL"/>
        </w:rPr>
      </w:pPr>
      <w:r w:rsidRPr="00694727">
        <w:rPr>
          <w:rFonts w:ascii="Arial Narrow" w:hAnsi="Arial Narrow" w:cs="Calibri Light"/>
          <w:spacing w:val="15"/>
          <w:sz w:val="24"/>
          <w:szCs w:val="24"/>
          <w:lang w:val="es-CL"/>
        </w:rPr>
        <w:t>1° Que, el deporte además de ser objeto de la promoción de  pasiones, intereses, personas, principios y valores, también promueve otros aspectos no deseados en la actividad deportiva, alejados de la ética, la buena fe y valores que la comunidad toda -atendido la normativa que se ha proporcionado interna e internacionalmente- ha acordado resguardar, promover y, cuando corresponda, sancionar los hechos contrarios a este pacto social.</w:t>
      </w:r>
    </w:p>
    <w:p w:rsidR="00BE614D" w:rsidRPr="00694727" w:rsidRDefault="00BE614D" w:rsidP="008C449A">
      <w:pPr>
        <w:pStyle w:val="Style1"/>
        <w:spacing w:before="468" w:line="360" w:lineRule="auto"/>
        <w:ind w:left="1418" w:right="-93" w:hanging="396"/>
        <w:jc w:val="both"/>
        <w:rPr>
          <w:rFonts w:ascii="Arial Narrow" w:hAnsi="Arial Narrow" w:cs="Calibri Light"/>
          <w:spacing w:val="15"/>
          <w:sz w:val="24"/>
          <w:szCs w:val="24"/>
          <w:lang w:val="es-CL"/>
        </w:rPr>
      </w:pPr>
      <w:r w:rsidRPr="00694727">
        <w:rPr>
          <w:rFonts w:ascii="Arial Narrow" w:hAnsi="Arial Narrow" w:cs="Calibri Light"/>
          <w:spacing w:val="15"/>
          <w:sz w:val="24"/>
          <w:szCs w:val="24"/>
          <w:lang w:val="es-CL"/>
        </w:rPr>
        <w:tab/>
        <w:t>Prueba de lo mencionado, son los públicamente conocidos y otros no</w:t>
      </w:r>
      <w:r>
        <w:rPr>
          <w:rFonts w:ascii="Arial Narrow" w:hAnsi="Arial Narrow" w:cs="Calibri Light"/>
          <w:spacing w:val="15"/>
          <w:sz w:val="24"/>
          <w:szCs w:val="24"/>
          <w:lang w:val="es-CL"/>
        </w:rPr>
        <w:t xml:space="preserve"> </w:t>
      </w:r>
      <w:r w:rsidRPr="00694727">
        <w:rPr>
          <w:rFonts w:ascii="Arial Narrow" w:hAnsi="Arial Narrow" w:cs="Calibri Light"/>
          <w:spacing w:val="15"/>
          <w:sz w:val="24"/>
          <w:szCs w:val="24"/>
          <w:lang w:val="es-CL"/>
        </w:rPr>
        <w:t>tan conocidos casos de fraudes, corrupción y otras figuras delictivas vinculadas a faltas o infracciones cometidas en el desempeño de la actividad deportiva vinculadas al ámbito económico; cuestión esta última que con el paso del tiempo se ha incrementado de manera “silenciosa” y que opaca y empobrece los destacados logros nacionales</w:t>
      </w:r>
      <w:r>
        <w:rPr>
          <w:rFonts w:ascii="Arial Narrow" w:hAnsi="Arial Narrow" w:cs="Calibri Light"/>
          <w:spacing w:val="15"/>
          <w:sz w:val="24"/>
          <w:szCs w:val="24"/>
          <w:lang w:val="es-CL"/>
        </w:rPr>
        <w:t xml:space="preserve"> </w:t>
      </w:r>
      <w:r w:rsidRPr="00694727">
        <w:rPr>
          <w:rFonts w:ascii="Arial Narrow" w:hAnsi="Arial Narrow" w:cs="Calibri Light"/>
          <w:spacing w:val="15"/>
          <w:sz w:val="24"/>
          <w:szCs w:val="24"/>
          <w:lang w:val="es-CL"/>
        </w:rPr>
        <w:t xml:space="preserve"> e internacionales, tanto a nivel profesional como amateur de nuestro deporte nacional.</w:t>
      </w:r>
    </w:p>
    <w:p w:rsidR="00BE614D" w:rsidRPr="00694727" w:rsidRDefault="00BE614D" w:rsidP="000546B9">
      <w:pPr>
        <w:pStyle w:val="Style1"/>
        <w:adjustRightInd/>
        <w:spacing w:before="468" w:line="360" w:lineRule="auto"/>
        <w:ind w:left="1418" w:right="-234" w:hanging="396"/>
        <w:jc w:val="both"/>
        <w:rPr>
          <w:rFonts w:ascii="Arial Narrow" w:hAnsi="Arial Narrow" w:cs="Calibri Light"/>
          <w:spacing w:val="15"/>
          <w:sz w:val="24"/>
          <w:szCs w:val="24"/>
          <w:lang w:val="es-CL"/>
        </w:rPr>
      </w:pPr>
      <w:r w:rsidRPr="00694727">
        <w:rPr>
          <w:rFonts w:ascii="Arial Narrow" w:hAnsi="Arial Narrow" w:cs="Calibri Light"/>
          <w:spacing w:val="15"/>
          <w:sz w:val="24"/>
          <w:szCs w:val="24"/>
          <w:lang w:val="es-CL"/>
        </w:rPr>
        <w:t xml:space="preserve">2° Que, atendida consideración de lo ilustrado, es pertinente que, a fin de robustecer el baluarte que significa y representa para las naciones la actividad deportiva en todas sus expresiones y en todos sus niveles, como agente conservador e impulsor de la buena salud de las personas, como agente rehabilitador de las diferentes patologías y pandemias –obesidad, </w:t>
      </w:r>
      <w:r w:rsidRPr="00694727">
        <w:rPr>
          <w:rFonts w:ascii="Arial Narrow" w:hAnsi="Arial Narrow" w:cs="Calibri Light"/>
          <w:spacing w:val="15"/>
          <w:sz w:val="24"/>
          <w:szCs w:val="24"/>
          <w:lang w:val="es-CL"/>
        </w:rPr>
        <w:lastRenderedPageBreak/>
        <w:t xml:space="preserve">adicciones, enfermedades psiquiátricas, etc.- existentes a nivel mundial, Chile comience a analizar, profundizar y consagrar todas las medidas tendientes y necesarias para proteger el deporte de agentes nocivos tales como actos de corrupción, fraude y otras figuras de carácter económico. </w:t>
      </w:r>
    </w:p>
    <w:p w:rsidR="00BE614D" w:rsidRPr="00694727" w:rsidRDefault="00BE614D" w:rsidP="008C449A">
      <w:pPr>
        <w:pStyle w:val="Style1"/>
        <w:spacing w:before="468" w:line="360" w:lineRule="auto"/>
        <w:ind w:left="1418" w:right="-93"/>
        <w:jc w:val="both"/>
        <w:rPr>
          <w:rFonts w:ascii="Arial Narrow" w:hAnsi="Arial Narrow"/>
          <w:sz w:val="24"/>
          <w:szCs w:val="24"/>
          <w:lang w:val="es-CL"/>
        </w:rPr>
      </w:pPr>
      <w:r w:rsidRPr="00694727">
        <w:rPr>
          <w:rFonts w:ascii="Arial Narrow" w:hAnsi="Arial Narrow" w:cs="Calibri Light"/>
          <w:spacing w:val="15"/>
          <w:sz w:val="24"/>
          <w:szCs w:val="24"/>
          <w:lang w:val="es-CL"/>
        </w:rPr>
        <w:t xml:space="preserve">3° Que, </w:t>
      </w:r>
      <w:r w:rsidRPr="00694727">
        <w:rPr>
          <w:rFonts w:ascii="Arial Narrow" w:hAnsi="Arial Narrow"/>
          <w:sz w:val="24"/>
          <w:szCs w:val="24"/>
          <w:lang w:val="es-CL"/>
        </w:rPr>
        <w:t>resulta determinante para la definición de “fraude” la incidencia que en él tiene la figura del engaño. El fraude puede ser conceptuado como el comportamiento que, a través del engaño, produce beneficios ilegítimos para quien lo ejecuta y perjuicios para el sujeto pasivo de tal conducta. En el fraude, el ardid elaborado por el sujeto activo (constituido por el engaño y la mentira) hace incurrir</w:t>
      </w:r>
      <w:r>
        <w:rPr>
          <w:rFonts w:ascii="Arial Narrow" w:hAnsi="Arial Narrow"/>
          <w:sz w:val="24"/>
          <w:szCs w:val="24"/>
          <w:lang w:val="es-CL"/>
        </w:rPr>
        <w:t xml:space="preserve">  </w:t>
      </w:r>
      <w:r w:rsidRPr="00694727">
        <w:rPr>
          <w:rFonts w:ascii="Arial Narrow" w:hAnsi="Arial Narrow"/>
          <w:sz w:val="24"/>
          <w:szCs w:val="24"/>
          <w:lang w:val="es-CL"/>
        </w:rPr>
        <w:t xml:space="preserve"> en error al sujeto pasivo, quien, tomando por verdadero lo que es erróneo, otorga ventajas a quien despliega la conducta deshonesta. En ese mismo sentido, la RAE considera que constituye fraude toda “acción contraria a la verdad y a la rectitud, </w:t>
      </w:r>
      <w:r>
        <w:rPr>
          <w:rFonts w:ascii="Arial Narrow" w:hAnsi="Arial Narrow"/>
          <w:sz w:val="24"/>
          <w:szCs w:val="24"/>
          <w:lang w:val="es-CL"/>
        </w:rPr>
        <w:t xml:space="preserve">  </w:t>
      </w:r>
      <w:r w:rsidRPr="00694727">
        <w:rPr>
          <w:rFonts w:ascii="Arial Narrow" w:hAnsi="Arial Narrow"/>
          <w:sz w:val="24"/>
          <w:szCs w:val="24"/>
          <w:lang w:val="es-CL"/>
        </w:rPr>
        <w:t>que perjudica a la persona contra quien se comete</w:t>
      </w:r>
      <w:r w:rsidRPr="00694727">
        <w:rPr>
          <w:rStyle w:val="Refdenotaalpie"/>
          <w:rFonts w:ascii="Arial Narrow" w:hAnsi="Arial Narrow"/>
          <w:sz w:val="24"/>
          <w:szCs w:val="24"/>
          <w:lang w:val="es-CL"/>
        </w:rPr>
        <w:footnoteReference w:id="1"/>
      </w:r>
      <w:r w:rsidRPr="00694727">
        <w:rPr>
          <w:rFonts w:ascii="Arial Narrow" w:hAnsi="Arial Narrow"/>
          <w:sz w:val="24"/>
          <w:szCs w:val="24"/>
          <w:lang w:val="es-CL"/>
        </w:rPr>
        <w:t>.</w:t>
      </w:r>
    </w:p>
    <w:p w:rsidR="00BE614D" w:rsidRPr="00694727" w:rsidRDefault="00BE614D" w:rsidP="000546B9">
      <w:pPr>
        <w:pStyle w:val="Style1"/>
        <w:spacing w:before="468" w:line="360" w:lineRule="auto"/>
        <w:ind w:left="1418" w:right="-234"/>
        <w:jc w:val="both"/>
        <w:rPr>
          <w:rFonts w:ascii="Arial Narrow" w:hAnsi="Arial Narrow"/>
          <w:sz w:val="24"/>
          <w:szCs w:val="24"/>
          <w:lang w:val="es-CL"/>
        </w:rPr>
      </w:pPr>
      <w:r w:rsidRPr="00694727">
        <w:rPr>
          <w:rFonts w:ascii="Arial Narrow" w:hAnsi="Arial Narrow"/>
          <w:sz w:val="24"/>
          <w:szCs w:val="24"/>
          <w:lang w:val="es-CL"/>
        </w:rPr>
        <w:t>Asimismo, se ha considerado que el fraude se enmarca dentro de un concepto aún más amplio: el de corrupción. El concepto de corrupción</w:t>
      </w:r>
      <w:r w:rsidRPr="00694727">
        <w:rPr>
          <w:rStyle w:val="Refdenotaalpie"/>
          <w:rFonts w:ascii="Arial Narrow" w:hAnsi="Arial Narrow"/>
          <w:sz w:val="24"/>
          <w:szCs w:val="24"/>
          <w:lang w:val="es-CL"/>
        </w:rPr>
        <w:footnoteReference w:id="2"/>
      </w:r>
      <w:r w:rsidRPr="00694727">
        <w:rPr>
          <w:rFonts w:ascii="Arial Narrow" w:hAnsi="Arial Narrow"/>
          <w:sz w:val="24"/>
          <w:szCs w:val="24"/>
          <w:lang w:val="es-CL"/>
        </w:rPr>
        <w:t xml:space="preserve"> engloba una serie de otras conductas – distintas del fraude propiamente tal- como el soborno, las coimas, la apropiación indebida, el lavado de dinero, etc.; pudiendo definirse como aquél comportamiento deshonesto ejecutado por una persona que, aprovechándose del carácter de las funciones que desempeña, obtiene beneficios ilegítimos. El carácter de tales funciones, entonces, no solo le sirven para engañar y defraudar, sino que también para sobornar o ser sobornado, para apropiarse indebidamente de cosas que no le pertenecen, para participar en una malversación de fondos o en otros comportamientos corruptos.</w:t>
      </w:r>
    </w:p>
    <w:p w:rsidR="00BE614D" w:rsidRPr="00694727" w:rsidRDefault="00BE614D" w:rsidP="000546B9">
      <w:pPr>
        <w:pStyle w:val="Style1"/>
        <w:spacing w:before="468" w:line="360" w:lineRule="auto"/>
        <w:ind w:left="1418" w:right="-234"/>
        <w:jc w:val="both"/>
        <w:rPr>
          <w:rFonts w:ascii="Arial Narrow" w:hAnsi="Arial Narrow" w:cs="Calibri Light"/>
          <w:spacing w:val="15"/>
          <w:sz w:val="24"/>
          <w:szCs w:val="24"/>
          <w:lang w:val="es-CL"/>
        </w:rPr>
      </w:pPr>
      <w:r w:rsidRPr="00694727">
        <w:rPr>
          <w:rFonts w:ascii="Arial Narrow" w:hAnsi="Arial Narrow"/>
          <w:sz w:val="24"/>
          <w:szCs w:val="24"/>
          <w:lang w:val="es-CL"/>
        </w:rPr>
        <w:t>Se ha conceptualizado al fraude como “el medio o modo de obrar engañoso o abusivo de confianza de que se vale una persona para obtener un resultado antijurídico. En los delitos de defraudación</w:t>
      </w:r>
      <w:r w:rsidRPr="00694727">
        <w:rPr>
          <w:rStyle w:val="Refdenotaalpie"/>
          <w:rFonts w:ascii="Arial Narrow" w:hAnsi="Arial Narrow" w:cs="Calibri Light"/>
          <w:spacing w:val="15"/>
          <w:sz w:val="24"/>
          <w:szCs w:val="24"/>
          <w:lang w:val="es-CL"/>
        </w:rPr>
        <w:footnoteReference w:id="3"/>
      </w:r>
      <w:r w:rsidRPr="00694727">
        <w:rPr>
          <w:rFonts w:ascii="Arial Narrow" w:hAnsi="Arial Narrow"/>
          <w:sz w:val="24"/>
          <w:szCs w:val="24"/>
          <w:lang w:val="es-CL"/>
        </w:rPr>
        <w:t xml:space="preserve">, este resultado antijurídico consiste en </w:t>
      </w:r>
      <w:r>
        <w:rPr>
          <w:rFonts w:ascii="Arial Narrow" w:hAnsi="Arial Narrow"/>
          <w:sz w:val="24"/>
          <w:szCs w:val="24"/>
          <w:lang w:val="es-CL"/>
        </w:rPr>
        <w:t xml:space="preserve">  </w:t>
      </w:r>
      <w:r w:rsidRPr="00694727">
        <w:rPr>
          <w:rFonts w:ascii="Arial Narrow" w:hAnsi="Arial Narrow"/>
          <w:sz w:val="24"/>
          <w:szCs w:val="24"/>
          <w:lang w:val="es-CL"/>
        </w:rPr>
        <w:t xml:space="preserve">un daño pecuniario. </w:t>
      </w:r>
      <w:r w:rsidRPr="00694727">
        <w:rPr>
          <w:rFonts w:ascii="Arial Narrow" w:hAnsi="Arial Narrow"/>
          <w:sz w:val="24"/>
          <w:szCs w:val="24"/>
          <w:lang w:val="es-CL"/>
        </w:rPr>
        <w:lastRenderedPageBreak/>
        <w:t>En consecuencia, el fraude es, para estos efectos, el engaño o el abuso de confianza que se emplea en la producción de una lesión patrimonial</w:t>
      </w:r>
      <w:r w:rsidRPr="00694727">
        <w:rPr>
          <w:rStyle w:val="Refdenotaalpie"/>
          <w:rFonts w:ascii="Arial Narrow" w:hAnsi="Arial Narrow"/>
          <w:sz w:val="24"/>
          <w:szCs w:val="24"/>
          <w:lang w:val="es-CL"/>
        </w:rPr>
        <w:footnoteReference w:id="4"/>
      </w:r>
    </w:p>
    <w:p w:rsidR="00BE614D" w:rsidRPr="00694727" w:rsidRDefault="00BE614D" w:rsidP="008C449A">
      <w:pPr>
        <w:pStyle w:val="Style1"/>
        <w:spacing w:before="468" w:line="360" w:lineRule="auto"/>
        <w:ind w:left="1418" w:right="-93"/>
        <w:jc w:val="both"/>
        <w:rPr>
          <w:rFonts w:ascii="Arial Narrow" w:hAnsi="Arial Narrow"/>
          <w:sz w:val="24"/>
          <w:szCs w:val="24"/>
          <w:lang w:val="es-CL"/>
        </w:rPr>
      </w:pPr>
      <w:r w:rsidRPr="00694727">
        <w:rPr>
          <w:rFonts w:ascii="Arial Narrow" w:hAnsi="Arial Narrow" w:cs="Calibri Light"/>
          <w:spacing w:val="15"/>
          <w:sz w:val="24"/>
          <w:szCs w:val="24"/>
          <w:lang w:val="es-CL"/>
        </w:rPr>
        <w:t xml:space="preserve">4° Que, </w:t>
      </w:r>
      <w:r w:rsidRPr="00694727">
        <w:rPr>
          <w:rFonts w:ascii="Arial Narrow" w:hAnsi="Arial Narrow"/>
          <w:sz w:val="24"/>
          <w:szCs w:val="24"/>
          <w:lang w:val="es-CL"/>
        </w:rPr>
        <w:t>Hay autores</w:t>
      </w:r>
      <w:r w:rsidRPr="00694727">
        <w:rPr>
          <w:rStyle w:val="Refdenotaalpie"/>
          <w:rFonts w:ascii="Arial Narrow" w:hAnsi="Arial Narrow"/>
          <w:sz w:val="24"/>
          <w:szCs w:val="24"/>
          <w:lang w:val="es-CL"/>
        </w:rPr>
        <w:footnoteReference w:id="5"/>
      </w:r>
      <w:r w:rsidRPr="00694727">
        <w:rPr>
          <w:rFonts w:ascii="Arial Narrow" w:hAnsi="Arial Narrow"/>
          <w:sz w:val="24"/>
          <w:szCs w:val="24"/>
          <w:lang w:val="es-CL"/>
        </w:rPr>
        <w:t xml:space="preserve"> que caracterizando al fenómeno de la “corrupción”, señalan que en este el sujeto activo ejecuta un acto que transgrede las normas del cargo que desempeña, acto que debe ser tenido por ilícito en el contexto normativo en el que tiene lugar y que debe ser ejecutado con el objeto de conseguir un beneficio ilegítimo de cualquier naturaleza (no solo económico). Es relevante –para estar en presencia de un acto corrupto- que quien quebrante las normas propias de la</w:t>
      </w:r>
      <w:r>
        <w:rPr>
          <w:rFonts w:ascii="Arial Narrow" w:hAnsi="Arial Narrow"/>
          <w:sz w:val="24"/>
          <w:szCs w:val="24"/>
          <w:lang w:val="es-CL"/>
        </w:rPr>
        <w:t xml:space="preserve"> </w:t>
      </w:r>
      <w:r w:rsidRPr="00694727">
        <w:rPr>
          <w:rFonts w:ascii="Arial Narrow" w:hAnsi="Arial Narrow"/>
          <w:sz w:val="24"/>
          <w:szCs w:val="24"/>
          <w:lang w:val="es-CL"/>
        </w:rPr>
        <w:t>función que ocupa, tenga la capacidad de tomar decisiones determinantes.</w:t>
      </w:r>
    </w:p>
    <w:p w:rsidR="00BE614D" w:rsidRDefault="00BE614D" w:rsidP="008C449A">
      <w:pPr>
        <w:pStyle w:val="Style1"/>
        <w:spacing w:before="468" w:line="360" w:lineRule="auto"/>
        <w:ind w:left="1418" w:right="-93"/>
        <w:jc w:val="both"/>
        <w:rPr>
          <w:rFonts w:ascii="Arial Narrow" w:hAnsi="Arial Narrow"/>
          <w:sz w:val="24"/>
          <w:szCs w:val="24"/>
          <w:lang w:val="es-CL"/>
        </w:rPr>
      </w:pPr>
      <w:r w:rsidRPr="00694727">
        <w:rPr>
          <w:rFonts w:ascii="Arial Narrow" w:hAnsi="Arial Narrow"/>
          <w:sz w:val="24"/>
          <w:szCs w:val="24"/>
          <w:lang w:val="es-CL"/>
        </w:rPr>
        <w:t>El fraude es una noción que trasciende a todas las ramas del derecho, recibiendo tratamiento no solo en sede penal, sino que además en sede constitucional, civil y comercial, por ejemplo</w:t>
      </w:r>
      <w:r w:rsidRPr="00694727">
        <w:rPr>
          <w:rStyle w:val="Refdenotaalpie"/>
          <w:rFonts w:ascii="Arial Narrow" w:hAnsi="Arial Narrow"/>
          <w:sz w:val="24"/>
          <w:szCs w:val="24"/>
          <w:lang w:val="es-CL"/>
        </w:rPr>
        <w:footnoteReference w:id="6"/>
      </w:r>
      <w:r w:rsidRPr="00694727">
        <w:rPr>
          <w:rFonts w:ascii="Arial Narrow" w:hAnsi="Arial Narrow"/>
          <w:sz w:val="24"/>
          <w:szCs w:val="24"/>
          <w:lang w:val="es-CL"/>
        </w:rPr>
        <w:t>.</w:t>
      </w:r>
    </w:p>
    <w:p w:rsidR="00BE614D" w:rsidRPr="00694727" w:rsidRDefault="00BE614D" w:rsidP="000546B9">
      <w:pPr>
        <w:pStyle w:val="Style1"/>
        <w:spacing w:before="468" w:line="360" w:lineRule="auto"/>
        <w:ind w:left="1418" w:right="-234"/>
        <w:jc w:val="both"/>
        <w:rPr>
          <w:rFonts w:ascii="Arial Narrow" w:hAnsi="Arial Narrow"/>
          <w:sz w:val="24"/>
          <w:szCs w:val="24"/>
          <w:lang w:val="es-CL"/>
        </w:rPr>
      </w:pPr>
      <w:r w:rsidRPr="00694727">
        <w:rPr>
          <w:rFonts w:ascii="Arial Narrow" w:hAnsi="Arial Narrow"/>
          <w:sz w:val="24"/>
          <w:szCs w:val="24"/>
          <w:lang w:val="es-CL"/>
        </w:rPr>
        <w:t>5° Que, El fraude, independiente de la modalidad de la que se trate (dopaje, sobornos a funcionarios de entidades deportivas, ardid de competiciones, etc.), ha estado presente desde antaño en la actividad deportiva. Tal es su proliferación que hoy es posible advertir conductas fraudulentas en prácticamente todos los deportes, lo que permite concluir que entre el fraude –más allá de los innumerables</w:t>
      </w:r>
      <w:r>
        <w:rPr>
          <w:rFonts w:ascii="Arial Narrow" w:hAnsi="Arial Narrow"/>
          <w:sz w:val="24"/>
          <w:szCs w:val="24"/>
          <w:lang w:val="es-CL"/>
        </w:rPr>
        <w:t xml:space="preserve"> </w:t>
      </w:r>
      <w:r w:rsidRPr="00694727">
        <w:rPr>
          <w:rFonts w:ascii="Arial Narrow" w:hAnsi="Arial Narrow"/>
          <w:sz w:val="24"/>
          <w:szCs w:val="24"/>
          <w:lang w:val="es-CL"/>
        </w:rPr>
        <w:t>e infructuosos intentos realizados para erradicar su presencia</w:t>
      </w:r>
      <w:r>
        <w:rPr>
          <w:rFonts w:ascii="Arial Narrow" w:hAnsi="Arial Narrow"/>
          <w:sz w:val="24"/>
          <w:szCs w:val="24"/>
          <w:lang w:val="es-CL"/>
        </w:rPr>
        <w:t xml:space="preserve"> </w:t>
      </w:r>
      <w:r w:rsidRPr="00694727">
        <w:rPr>
          <w:rFonts w:ascii="Arial Narrow" w:hAnsi="Arial Narrow"/>
          <w:sz w:val="24"/>
          <w:szCs w:val="24"/>
          <w:lang w:val="es-CL"/>
        </w:rPr>
        <w:t>y el deporte existe una relación lamentablemente inescindible.</w:t>
      </w:r>
    </w:p>
    <w:p w:rsidR="00BE614D" w:rsidRDefault="00BE614D" w:rsidP="000546B9">
      <w:pPr>
        <w:pStyle w:val="Style1"/>
        <w:spacing w:before="468" w:line="360" w:lineRule="auto"/>
        <w:ind w:left="1418" w:right="-234"/>
        <w:jc w:val="both"/>
        <w:rPr>
          <w:rFonts w:ascii="Arial Narrow" w:hAnsi="Arial Narrow"/>
          <w:sz w:val="24"/>
          <w:szCs w:val="24"/>
          <w:lang w:val="es-CL"/>
        </w:rPr>
      </w:pPr>
      <w:r w:rsidRPr="00694727">
        <w:rPr>
          <w:rFonts w:ascii="Arial Narrow" w:hAnsi="Arial Narrow"/>
          <w:sz w:val="24"/>
          <w:szCs w:val="24"/>
          <w:lang w:val="es-CL"/>
        </w:rPr>
        <w:t>Así, no hay margen para discutir la existencia de una relación clara y marcada entre el fraude y el deporte. Sin embargo, dicha relación entrelaza a dos conceptos absolutamente antagónicos, entre los que resultaría ideal que no existiese vínculo alguno. Esto se hace patente constatando que tras todo fraude se esconde un comportamiento desleal y deshonesto, contrario y transgresor de los valores y de</w:t>
      </w:r>
      <w:r>
        <w:rPr>
          <w:rFonts w:ascii="Arial Narrow" w:hAnsi="Arial Narrow"/>
          <w:sz w:val="24"/>
          <w:szCs w:val="24"/>
          <w:lang w:val="es-CL"/>
        </w:rPr>
        <w:t xml:space="preserve"> </w:t>
      </w:r>
      <w:r w:rsidRPr="00694727">
        <w:rPr>
          <w:rFonts w:ascii="Arial Narrow" w:hAnsi="Arial Narrow"/>
          <w:sz w:val="24"/>
          <w:szCs w:val="24"/>
          <w:lang w:val="es-CL"/>
        </w:rPr>
        <w:t xml:space="preserve"> los principios que imbuyen el ejercicio de toda actividad deportiva</w:t>
      </w:r>
      <w:r w:rsidR="000546B9">
        <w:rPr>
          <w:rFonts w:ascii="Arial Narrow" w:hAnsi="Arial Narrow"/>
          <w:sz w:val="24"/>
          <w:szCs w:val="24"/>
          <w:lang w:val="es-CL"/>
        </w:rPr>
        <w:t>.</w:t>
      </w:r>
    </w:p>
    <w:p w:rsidR="000546B9" w:rsidRPr="00694727" w:rsidRDefault="000546B9" w:rsidP="000546B9">
      <w:pPr>
        <w:pStyle w:val="Style1"/>
        <w:spacing w:before="468" w:line="360" w:lineRule="auto"/>
        <w:ind w:left="1418" w:right="-234"/>
        <w:jc w:val="both"/>
        <w:rPr>
          <w:rFonts w:ascii="Arial Narrow" w:hAnsi="Arial Narrow"/>
          <w:sz w:val="24"/>
          <w:szCs w:val="24"/>
          <w:lang w:val="es-CL"/>
        </w:rPr>
      </w:pPr>
    </w:p>
    <w:p w:rsidR="000B4DA4" w:rsidRDefault="00BE614D" w:rsidP="000546B9">
      <w:pPr>
        <w:pStyle w:val="Style1"/>
        <w:spacing w:before="468" w:line="360" w:lineRule="auto"/>
        <w:ind w:left="1418" w:right="-234"/>
        <w:jc w:val="both"/>
        <w:rPr>
          <w:rFonts w:ascii="Arial Narrow" w:hAnsi="Arial Narrow"/>
          <w:sz w:val="24"/>
          <w:szCs w:val="24"/>
          <w:lang w:val="es-CL"/>
        </w:rPr>
      </w:pPr>
      <w:r w:rsidRPr="00694727">
        <w:rPr>
          <w:rFonts w:ascii="Arial Narrow" w:hAnsi="Arial Narrow"/>
          <w:sz w:val="24"/>
          <w:szCs w:val="24"/>
          <w:lang w:val="es-CL"/>
        </w:rPr>
        <w:lastRenderedPageBreak/>
        <w:t>6° Que, por todo lo expuesto detalladamente, resulta urgente disponer todos nuestros esfuerzos para proteger la actividad deportiva de esta clase de conductas nocivas. Ya Chile ha avanzado en el deporte en la regulación de conductas</w:t>
      </w:r>
      <w:r>
        <w:rPr>
          <w:rFonts w:ascii="Arial Narrow" w:hAnsi="Arial Narrow"/>
          <w:sz w:val="24"/>
          <w:szCs w:val="24"/>
          <w:lang w:val="es-CL"/>
        </w:rPr>
        <w:t xml:space="preserve"> </w:t>
      </w:r>
      <w:r w:rsidRPr="00694727">
        <w:rPr>
          <w:rFonts w:ascii="Arial Narrow" w:hAnsi="Arial Narrow"/>
          <w:sz w:val="24"/>
          <w:szCs w:val="24"/>
          <w:lang w:val="es-CL"/>
        </w:rPr>
        <w:t xml:space="preserve"> impropias vinculadas al acoso y maltrato físico y/o psíquico de todos quienes se desempeñan en el quehacer deportivo, sin embargo, nos encon</w:t>
      </w:r>
      <w:r>
        <w:rPr>
          <w:rFonts w:ascii="Arial Narrow" w:hAnsi="Arial Narrow"/>
          <w:sz w:val="24"/>
          <w:szCs w:val="24"/>
          <w:lang w:val="es-CL"/>
        </w:rPr>
        <w:t>tramos en deuda</w:t>
      </w:r>
      <w:r>
        <w:rPr>
          <w:rStyle w:val="Refdenotaalpie"/>
          <w:rFonts w:ascii="Arial Narrow" w:hAnsi="Arial Narrow"/>
          <w:sz w:val="24"/>
          <w:szCs w:val="24"/>
          <w:lang w:val="es-CL"/>
        </w:rPr>
        <w:footnoteReference w:id="7"/>
      </w:r>
      <w:r>
        <w:rPr>
          <w:rFonts w:ascii="Arial Narrow" w:hAnsi="Arial Narrow"/>
          <w:sz w:val="24"/>
          <w:szCs w:val="24"/>
          <w:lang w:val="es-CL"/>
        </w:rPr>
        <w:t xml:space="preserve"> de una normativa</w:t>
      </w:r>
      <w:r w:rsidRPr="00694727">
        <w:rPr>
          <w:rFonts w:ascii="Arial Narrow" w:hAnsi="Arial Narrow"/>
          <w:sz w:val="24"/>
          <w:szCs w:val="24"/>
          <w:lang w:val="es-CL"/>
        </w:rPr>
        <w:t xml:space="preserve"> que regule con mayor Fortaleza y proteja el deporte como agente protector de las pe</w:t>
      </w:r>
      <w:r w:rsidR="000B4DA4">
        <w:rPr>
          <w:rFonts w:ascii="Arial Narrow" w:hAnsi="Arial Narrow"/>
          <w:sz w:val="24"/>
          <w:szCs w:val="24"/>
          <w:lang w:val="es-CL"/>
        </w:rPr>
        <w:t>rsonas</w:t>
      </w:r>
    </w:p>
    <w:p w:rsidR="000B4DA4" w:rsidRDefault="000B4DA4" w:rsidP="008C449A">
      <w:pPr>
        <w:pStyle w:val="Style1"/>
        <w:spacing w:before="468" w:line="360" w:lineRule="auto"/>
        <w:ind w:right="-93"/>
        <w:jc w:val="both"/>
        <w:rPr>
          <w:rFonts w:ascii="Arial Narrow" w:hAnsi="Arial Narrow"/>
          <w:sz w:val="24"/>
          <w:szCs w:val="24"/>
          <w:lang w:val="es-CL"/>
        </w:rPr>
      </w:pPr>
    </w:p>
    <w:p w:rsidR="00BE614D" w:rsidRPr="000B4DA4" w:rsidRDefault="00BE614D" w:rsidP="008C449A">
      <w:pPr>
        <w:pStyle w:val="Style1"/>
        <w:spacing w:before="468" w:line="360" w:lineRule="auto"/>
        <w:ind w:left="708" w:right="-93" w:firstLine="708"/>
        <w:jc w:val="both"/>
        <w:rPr>
          <w:rFonts w:ascii="Arial Narrow" w:hAnsi="Arial Narrow" w:cs="Calibri Light"/>
          <w:spacing w:val="15"/>
          <w:sz w:val="24"/>
          <w:szCs w:val="24"/>
          <w:lang w:val="es-CL"/>
        </w:rPr>
      </w:pPr>
      <w:r w:rsidRPr="00694727">
        <w:rPr>
          <w:rFonts w:ascii="Arial Narrow" w:hAnsi="Arial Narrow" w:cs="Calibri Light"/>
          <w:b/>
          <w:bCs/>
          <w:sz w:val="24"/>
          <w:szCs w:val="24"/>
          <w:lang w:val="es-CL"/>
        </w:rPr>
        <w:t>POR LO TANTO,</w:t>
      </w:r>
      <w:r>
        <w:rPr>
          <w:rFonts w:ascii="Arial Narrow" w:hAnsi="Arial Narrow" w:cs="Calibri Light"/>
          <w:b/>
          <w:bCs/>
          <w:sz w:val="24"/>
          <w:szCs w:val="24"/>
          <w:lang w:val="es-CL"/>
        </w:rPr>
        <w:tab/>
      </w:r>
    </w:p>
    <w:p w:rsidR="00BE614D" w:rsidRPr="00694727" w:rsidRDefault="00BE614D" w:rsidP="008C449A">
      <w:pPr>
        <w:pStyle w:val="Style1"/>
        <w:adjustRightInd/>
        <w:spacing w:line="360" w:lineRule="auto"/>
        <w:ind w:left="1418" w:right="-93"/>
        <w:jc w:val="both"/>
        <w:rPr>
          <w:rFonts w:ascii="Arial Narrow" w:hAnsi="Arial Narrow" w:cs="Calibri Light"/>
          <w:sz w:val="24"/>
          <w:szCs w:val="24"/>
          <w:lang w:val="es-CL"/>
        </w:rPr>
      </w:pPr>
    </w:p>
    <w:p w:rsidR="00BE614D" w:rsidRPr="00694727" w:rsidRDefault="00BE614D" w:rsidP="008C449A">
      <w:pPr>
        <w:pStyle w:val="Style1"/>
        <w:adjustRightInd/>
        <w:spacing w:line="360" w:lineRule="auto"/>
        <w:ind w:left="1418" w:right="-93"/>
        <w:jc w:val="both"/>
        <w:rPr>
          <w:rFonts w:ascii="Arial Narrow" w:hAnsi="Arial Narrow" w:cs="Calibri Light"/>
          <w:b/>
          <w:bCs/>
          <w:sz w:val="24"/>
          <w:szCs w:val="24"/>
          <w:u w:val="single"/>
          <w:lang w:val="es-CL"/>
        </w:rPr>
      </w:pPr>
      <w:r w:rsidRPr="00694727">
        <w:rPr>
          <w:rFonts w:ascii="Arial Narrow" w:hAnsi="Arial Narrow" w:cs="Calibri Light"/>
          <w:sz w:val="24"/>
          <w:szCs w:val="24"/>
          <w:lang w:val="es-CL"/>
        </w:rPr>
        <w:t>El Diputado que suscribe viene a someter a la consideración de este Honorable Congreso Nacional el siguiente:</w:t>
      </w:r>
      <w:r w:rsidRPr="00694727">
        <w:rPr>
          <w:rFonts w:ascii="Arial Narrow" w:hAnsi="Arial Narrow" w:cs="Calibri Light"/>
          <w:b/>
          <w:bCs/>
          <w:sz w:val="24"/>
          <w:szCs w:val="24"/>
          <w:u w:val="single"/>
          <w:lang w:val="es-CL"/>
        </w:rPr>
        <w:t xml:space="preserve"> </w:t>
      </w:r>
    </w:p>
    <w:p w:rsidR="00BE614D" w:rsidRDefault="00BE614D" w:rsidP="008C449A">
      <w:pPr>
        <w:spacing w:after="200" w:line="360" w:lineRule="auto"/>
        <w:ind w:right="-93"/>
        <w:rPr>
          <w:rFonts w:ascii="Arial Narrow" w:hAnsi="Arial Narrow" w:cs="Calibri Light"/>
          <w:b/>
          <w:bCs/>
          <w:szCs w:val="24"/>
          <w:u w:val="single"/>
          <w:lang w:val="es-CL"/>
        </w:rPr>
      </w:pPr>
    </w:p>
    <w:p w:rsidR="00BB29AE" w:rsidRPr="00694727" w:rsidRDefault="00BB29AE" w:rsidP="008C449A">
      <w:pPr>
        <w:spacing w:after="200" w:line="360" w:lineRule="auto"/>
        <w:ind w:right="-93"/>
        <w:rPr>
          <w:rFonts w:ascii="Arial Narrow" w:hAnsi="Arial Narrow" w:cs="Calibri Light"/>
          <w:b/>
          <w:bCs/>
          <w:szCs w:val="24"/>
          <w:u w:val="single"/>
          <w:lang w:val="es-CL"/>
        </w:rPr>
      </w:pPr>
    </w:p>
    <w:p w:rsidR="00BE614D" w:rsidRPr="00694727" w:rsidRDefault="00BE614D" w:rsidP="008C449A">
      <w:pPr>
        <w:pStyle w:val="Style1"/>
        <w:adjustRightInd/>
        <w:spacing w:line="360" w:lineRule="auto"/>
        <w:ind w:left="3542" w:right="-93" w:firstLine="706"/>
        <w:rPr>
          <w:rFonts w:ascii="Arial Narrow" w:hAnsi="Arial Narrow" w:cs="Calibri Light"/>
          <w:b/>
          <w:bCs/>
          <w:sz w:val="24"/>
          <w:szCs w:val="24"/>
          <w:u w:val="single"/>
          <w:lang w:val="es-CL"/>
        </w:rPr>
      </w:pPr>
      <w:r w:rsidRPr="00694727">
        <w:rPr>
          <w:rFonts w:ascii="Arial Narrow" w:hAnsi="Arial Narrow" w:cs="Calibri Light"/>
          <w:b/>
          <w:bCs/>
          <w:sz w:val="24"/>
          <w:szCs w:val="24"/>
          <w:u w:val="single"/>
          <w:lang w:val="es-CL"/>
        </w:rPr>
        <w:t>PROYECTO DE LEY</w:t>
      </w:r>
    </w:p>
    <w:p w:rsidR="00BE614D" w:rsidRPr="00694727" w:rsidRDefault="00BE614D" w:rsidP="008C449A">
      <w:pPr>
        <w:pStyle w:val="Textoindependiente"/>
        <w:spacing w:line="360" w:lineRule="auto"/>
        <w:ind w:left="1418" w:right="-93"/>
        <w:rPr>
          <w:rFonts w:ascii="Arial Narrow" w:hAnsi="Arial Narrow" w:cs="Calibri Light"/>
          <w:szCs w:val="24"/>
          <w:lang w:val="es-CL"/>
        </w:rPr>
      </w:pPr>
    </w:p>
    <w:p w:rsidR="00BE614D" w:rsidRPr="00694727" w:rsidRDefault="00BE614D" w:rsidP="008C449A">
      <w:pPr>
        <w:pStyle w:val="Textoindependiente"/>
        <w:spacing w:line="360" w:lineRule="auto"/>
        <w:ind w:left="1418" w:right="-93"/>
        <w:rPr>
          <w:rFonts w:ascii="Arial Narrow" w:hAnsi="Arial Narrow" w:cs="Calibri Light"/>
          <w:i/>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“Artículo único: modifíquese la ley Nº 19.712, Ley del Deporte, en el siguiente sentido:</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Agréguese el siguiente párrafo 5º del Título III, y un artículo 40 bis, a continuación del artículo 40 T, del siguiente tenor:</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 xml:space="preserve">‘Párrafo </w:t>
      </w:r>
      <w:r w:rsidR="000546B9">
        <w:rPr>
          <w:rFonts w:ascii="Arial Narrow" w:hAnsi="Arial Narrow" w:cs="Calibri Light"/>
          <w:b w:val="0"/>
          <w:szCs w:val="24"/>
          <w:lang w:val="es-CL"/>
        </w:rPr>
        <w:t>5</w:t>
      </w:r>
      <w:r w:rsidRPr="000B4DA4">
        <w:rPr>
          <w:rFonts w:ascii="Arial Narrow" w:hAnsi="Arial Narrow" w:cs="Calibri Light"/>
          <w:b w:val="0"/>
          <w:szCs w:val="24"/>
          <w:lang w:val="es-CL"/>
        </w:rPr>
        <w:t>º. De las penas aplicables a quienes se desempeñen en una organización deportiva</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0546B9">
      <w:pPr>
        <w:pStyle w:val="Textoindependiente"/>
        <w:spacing w:line="360" w:lineRule="auto"/>
        <w:ind w:left="1418" w:right="-234"/>
        <w:rPr>
          <w:rFonts w:ascii="Arial Narrow" w:hAnsi="Arial Narrow" w:cs="Calibri Light"/>
          <w:b w:val="0"/>
          <w:szCs w:val="24"/>
          <w:lang w:val="es-CL"/>
        </w:rPr>
      </w:pPr>
      <w:r w:rsidRPr="000B4DA4">
        <w:rPr>
          <w:rFonts w:ascii="Arial Narrow" w:hAnsi="Arial Narrow" w:cs="Calibri Light"/>
          <w:b w:val="0"/>
          <w:szCs w:val="24"/>
          <w:lang w:val="es-CL"/>
        </w:rPr>
        <w:t>Artículo 40 bis: si las conductas descritas en los artículos 287 bis, 287 ter, 463, 463 bis, 463 ter, 463 quáter, y 473 del Código Penal son realizadas por quien desempeñe algún tipo de función en una organización deportiva, cualquiera sea su denominación, la pena asignada al delito respectivo deberá imponerse conjuntamente con la pena accesoria de inhabilitación absoluta y perpetua para ejercer cargos, empleos, oficios o profesiones en organizaciones deportivas. Esta pena produce:</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1º. La privación de todos los cargos, empleos, oficios y profesiones ejercidos en organizaciones deportivas.</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2º. La incapacidad para obtener los cargos, empleos, oficios y profesiones en organizaciones deportivas, perpetuamente</w:t>
      </w: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p>
    <w:p w:rsidR="000B4DA4" w:rsidRPr="000B4DA4" w:rsidRDefault="000B4DA4" w:rsidP="008C449A">
      <w:pPr>
        <w:pStyle w:val="Textoindependiente"/>
        <w:spacing w:line="360" w:lineRule="auto"/>
        <w:ind w:left="1418" w:right="-93"/>
        <w:rPr>
          <w:rFonts w:ascii="Arial Narrow" w:hAnsi="Arial Narrow" w:cs="Calibri Light"/>
          <w:b w:val="0"/>
          <w:szCs w:val="24"/>
          <w:lang w:val="es-CL"/>
        </w:rPr>
      </w:pPr>
      <w:r w:rsidRPr="000B4DA4">
        <w:rPr>
          <w:rFonts w:ascii="Arial Narrow" w:hAnsi="Arial Narrow" w:cs="Calibri Light"/>
          <w:b w:val="0"/>
          <w:szCs w:val="24"/>
          <w:lang w:val="es-CL"/>
        </w:rPr>
        <w:t xml:space="preserve">En este caso, ejecutoriada que sea la sentencia definitiva, el tribunal la comunicará al Instituto Nacional del Deporte. </w:t>
      </w:r>
      <w:r w:rsidRPr="000546B9">
        <w:rPr>
          <w:rFonts w:ascii="Arial Narrow" w:hAnsi="Arial Narrow" w:cs="Calibri Light"/>
          <w:b w:val="0"/>
          <w:strike/>
          <w:szCs w:val="24"/>
          <w:lang w:val="es-CL"/>
        </w:rPr>
        <w:t>Dicho organismo mantendrá un registro público actualizado de las personas naturales a las que se les haya impuesto esta pena’”.</w:t>
      </w:r>
    </w:p>
    <w:p w:rsidR="000B4DA4" w:rsidRPr="000B4DA4" w:rsidRDefault="000B4DA4" w:rsidP="008C449A">
      <w:pPr>
        <w:pStyle w:val="Textoindependiente"/>
        <w:spacing w:line="360" w:lineRule="auto"/>
        <w:ind w:right="-93"/>
        <w:rPr>
          <w:rFonts w:ascii="Arial Narrow" w:hAnsi="Arial Narrow" w:cs="Calibri Light"/>
          <w:b w:val="0"/>
          <w:szCs w:val="24"/>
          <w:lang w:val="es-CL"/>
        </w:rPr>
      </w:pPr>
    </w:p>
    <w:p w:rsidR="00BE614D" w:rsidRPr="00694727" w:rsidRDefault="00BE614D" w:rsidP="008C449A">
      <w:pPr>
        <w:pStyle w:val="Textoindependiente"/>
        <w:spacing w:line="360" w:lineRule="auto"/>
        <w:ind w:right="-93"/>
        <w:rPr>
          <w:rFonts w:ascii="Arial Narrow" w:hAnsi="Arial Narrow" w:cs="Calibri Light"/>
          <w:b w:val="0"/>
          <w:szCs w:val="24"/>
          <w:lang w:val="es-CL"/>
        </w:rPr>
      </w:pPr>
    </w:p>
    <w:p w:rsidR="00BE614D" w:rsidRPr="00694727" w:rsidRDefault="00BE614D" w:rsidP="008C449A">
      <w:pPr>
        <w:pStyle w:val="Textoindependiente"/>
        <w:spacing w:line="360" w:lineRule="auto"/>
        <w:ind w:left="2490" w:right="-93"/>
        <w:rPr>
          <w:rFonts w:ascii="Arial Narrow" w:hAnsi="Arial Narrow" w:cs="Calibri Light"/>
          <w:b w:val="0"/>
          <w:i/>
          <w:szCs w:val="24"/>
          <w:lang w:val="es-CL"/>
        </w:rPr>
      </w:pPr>
    </w:p>
    <w:p w:rsidR="00BE614D" w:rsidRPr="00694727" w:rsidRDefault="00BE614D" w:rsidP="008C449A">
      <w:pPr>
        <w:pStyle w:val="Textoindependiente"/>
        <w:spacing w:line="360" w:lineRule="auto"/>
        <w:ind w:left="2490" w:right="-93"/>
        <w:rPr>
          <w:rFonts w:ascii="Arial Narrow" w:hAnsi="Arial Narrow" w:cs="Calibri Light"/>
          <w:b w:val="0"/>
          <w:i/>
          <w:szCs w:val="24"/>
          <w:lang w:val="es-CL"/>
        </w:rPr>
      </w:pPr>
    </w:p>
    <w:p w:rsidR="00BE614D" w:rsidRPr="00694727" w:rsidRDefault="00BE614D" w:rsidP="008C449A">
      <w:pPr>
        <w:pStyle w:val="Textoindependiente"/>
        <w:spacing w:line="360" w:lineRule="auto"/>
        <w:ind w:right="-93"/>
        <w:rPr>
          <w:rFonts w:ascii="Arial Narrow" w:hAnsi="Arial Narrow" w:cs="Calibri Light"/>
          <w:b w:val="0"/>
          <w:i/>
          <w:szCs w:val="24"/>
          <w:lang w:val="es-CL"/>
        </w:rPr>
      </w:pPr>
    </w:p>
    <w:p w:rsidR="00BE614D" w:rsidRPr="00694727" w:rsidRDefault="00BE614D" w:rsidP="008C449A">
      <w:pPr>
        <w:pStyle w:val="Textoindependiente"/>
        <w:spacing w:line="360" w:lineRule="auto"/>
        <w:ind w:left="2490" w:right="-93"/>
        <w:rPr>
          <w:rFonts w:ascii="Arial Narrow" w:hAnsi="Arial Narrow" w:cs="Calibri Light"/>
          <w:b w:val="0"/>
          <w:i/>
          <w:szCs w:val="24"/>
          <w:lang w:val="es-CL"/>
        </w:rPr>
      </w:pPr>
    </w:p>
    <w:p w:rsidR="00BE614D" w:rsidRPr="00694727" w:rsidRDefault="00BE614D" w:rsidP="008C449A">
      <w:pPr>
        <w:pStyle w:val="Textoindependiente"/>
        <w:spacing w:line="360" w:lineRule="auto"/>
        <w:ind w:left="2490" w:right="-93"/>
        <w:rPr>
          <w:rFonts w:ascii="Arial Narrow" w:hAnsi="Arial Narrow" w:cs="Calibri Light"/>
          <w:b w:val="0"/>
          <w:i/>
          <w:szCs w:val="24"/>
          <w:lang w:val="es-CL"/>
        </w:rPr>
      </w:pPr>
    </w:p>
    <w:p w:rsidR="00BE614D" w:rsidRPr="00694727" w:rsidRDefault="00BE614D" w:rsidP="008C449A">
      <w:pPr>
        <w:pStyle w:val="Textoindependiente"/>
        <w:spacing w:line="360" w:lineRule="auto"/>
        <w:ind w:right="-93"/>
        <w:rPr>
          <w:rFonts w:ascii="Arial Narrow" w:hAnsi="Arial Narrow" w:cs="Calibri Light"/>
          <w:szCs w:val="24"/>
          <w:lang w:val="es-CL"/>
        </w:rPr>
      </w:pPr>
    </w:p>
    <w:p w:rsidR="00BE614D" w:rsidRPr="00694727" w:rsidRDefault="00BE614D" w:rsidP="008C449A">
      <w:pPr>
        <w:pStyle w:val="Textoindependiente"/>
        <w:spacing w:line="360" w:lineRule="auto"/>
        <w:ind w:left="851" w:right="-93"/>
        <w:rPr>
          <w:rFonts w:ascii="Arial Narrow" w:hAnsi="Arial Narrow" w:cs="Calibri Light"/>
          <w:szCs w:val="24"/>
          <w:lang w:val="es-CL"/>
        </w:rPr>
      </w:pPr>
      <w:r w:rsidRPr="00694727">
        <w:rPr>
          <w:rFonts w:ascii="Arial Narrow" w:hAnsi="Arial Narrow" w:cs="Calibri Light"/>
          <w:b w:val="0"/>
          <w:szCs w:val="24"/>
          <w:lang w:val="es-CL"/>
        </w:rPr>
        <w:tab/>
      </w:r>
      <w:r w:rsidRPr="00694727">
        <w:rPr>
          <w:rFonts w:ascii="Arial Narrow" w:hAnsi="Arial Narrow" w:cs="Calibri Light"/>
          <w:b w:val="0"/>
          <w:szCs w:val="24"/>
          <w:lang w:val="es-CL"/>
        </w:rPr>
        <w:tab/>
      </w:r>
      <w:r w:rsidRPr="00694727">
        <w:rPr>
          <w:rFonts w:ascii="Arial Narrow" w:hAnsi="Arial Narrow" w:cs="Calibri Light"/>
          <w:b w:val="0"/>
          <w:szCs w:val="24"/>
          <w:lang w:val="es-CL"/>
        </w:rPr>
        <w:tab/>
      </w:r>
      <w:r w:rsidRPr="00694727">
        <w:rPr>
          <w:rFonts w:ascii="Arial Narrow" w:hAnsi="Arial Narrow" w:cs="Calibri Light"/>
          <w:b w:val="0"/>
          <w:szCs w:val="24"/>
          <w:lang w:val="es-CL"/>
        </w:rPr>
        <w:tab/>
      </w:r>
      <w:r w:rsidRPr="00694727">
        <w:rPr>
          <w:rFonts w:ascii="Arial Narrow" w:hAnsi="Arial Narrow" w:cs="Calibri Light"/>
          <w:szCs w:val="24"/>
          <w:lang w:val="es-CL"/>
        </w:rPr>
        <w:t>Sebastián Keitel B</w:t>
      </w:r>
      <w:r w:rsidR="00F553CF">
        <w:rPr>
          <w:rFonts w:ascii="Arial Narrow" w:hAnsi="Arial Narrow" w:cs="Calibri Light"/>
          <w:szCs w:val="24"/>
          <w:lang w:val="es-CL"/>
        </w:rPr>
        <w:t>ianchi</w:t>
      </w:r>
      <w:r w:rsidRPr="00694727">
        <w:rPr>
          <w:rFonts w:ascii="Arial Narrow" w:hAnsi="Arial Narrow" w:cs="Calibri Light"/>
          <w:szCs w:val="24"/>
          <w:lang w:val="es-CL"/>
        </w:rPr>
        <w:t xml:space="preserve">. </w:t>
      </w:r>
    </w:p>
    <w:p w:rsidR="00BE614D" w:rsidRPr="00694727" w:rsidRDefault="00BE614D" w:rsidP="008C449A">
      <w:pPr>
        <w:pStyle w:val="Textoindependiente"/>
        <w:spacing w:line="360" w:lineRule="auto"/>
        <w:ind w:left="851" w:right="-93"/>
        <w:rPr>
          <w:rFonts w:ascii="Arial Narrow" w:hAnsi="Arial Narrow" w:cs="Calibri Light"/>
          <w:szCs w:val="24"/>
          <w:lang w:val="es-CL"/>
        </w:rPr>
      </w:pPr>
      <w:r w:rsidRPr="00694727">
        <w:rPr>
          <w:rFonts w:ascii="Arial Narrow" w:hAnsi="Arial Narrow" w:cs="Calibri Light"/>
          <w:szCs w:val="24"/>
          <w:lang w:val="es-CL"/>
        </w:rPr>
        <w:tab/>
      </w:r>
      <w:r w:rsidRPr="00694727">
        <w:rPr>
          <w:rFonts w:ascii="Arial Narrow" w:hAnsi="Arial Narrow" w:cs="Calibri Light"/>
          <w:szCs w:val="24"/>
          <w:lang w:val="es-CL"/>
        </w:rPr>
        <w:tab/>
      </w:r>
      <w:r w:rsidRPr="00694727">
        <w:rPr>
          <w:rFonts w:ascii="Arial Narrow" w:hAnsi="Arial Narrow" w:cs="Calibri Light"/>
          <w:szCs w:val="24"/>
          <w:lang w:val="es-CL"/>
        </w:rPr>
        <w:tab/>
      </w:r>
      <w:r w:rsidRPr="00694727">
        <w:rPr>
          <w:rFonts w:ascii="Arial Narrow" w:hAnsi="Arial Narrow" w:cs="Calibri Light"/>
          <w:szCs w:val="24"/>
          <w:lang w:val="es-CL"/>
        </w:rPr>
        <w:tab/>
        <w:t xml:space="preserve">      </w:t>
      </w:r>
      <w:r w:rsidR="00F553CF">
        <w:rPr>
          <w:rFonts w:ascii="Arial Narrow" w:hAnsi="Arial Narrow" w:cs="Calibri Light"/>
          <w:szCs w:val="24"/>
          <w:lang w:val="es-CL"/>
        </w:rPr>
        <w:t xml:space="preserve">       </w:t>
      </w:r>
      <w:r w:rsidRPr="00694727">
        <w:rPr>
          <w:rFonts w:ascii="Arial Narrow" w:hAnsi="Arial Narrow" w:cs="Calibri Light"/>
          <w:szCs w:val="24"/>
          <w:lang w:val="es-CL"/>
        </w:rPr>
        <w:t>Diputado</w:t>
      </w:r>
    </w:p>
    <w:p w:rsidR="00BE614D" w:rsidRPr="00694727" w:rsidRDefault="00BE614D" w:rsidP="008C449A">
      <w:pPr>
        <w:tabs>
          <w:tab w:val="left" w:pos="7652"/>
        </w:tabs>
        <w:spacing w:line="360" w:lineRule="auto"/>
        <w:ind w:right="-93"/>
        <w:rPr>
          <w:rFonts w:ascii="Arial Narrow" w:hAnsi="Arial Narrow" w:cs="Calibri Light"/>
          <w:szCs w:val="24"/>
          <w:lang w:val="es-CL"/>
        </w:rPr>
      </w:pPr>
    </w:p>
    <w:p w:rsidR="00BE614D" w:rsidRPr="00694727" w:rsidRDefault="00BE614D" w:rsidP="008C449A">
      <w:pPr>
        <w:spacing w:line="360" w:lineRule="auto"/>
        <w:ind w:right="-93"/>
        <w:rPr>
          <w:rFonts w:ascii="Arial Narrow" w:hAnsi="Arial Narrow"/>
          <w:lang w:val="es-CL"/>
        </w:rPr>
      </w:pPr>
    </w:p>
    <w:p w:rsidR="00A66B7D" w:rsidRDefault="006175D0" w:rsidP="008C449A">
      <w:pPr>
        <w:spacing w:line="360" w:lineRule="auto"/>
      </w:pPr>
    </w:p>
    <w:sectPr w:rsidR="00A66B7D" w:rsidSect="000B4DA4">
      <w:headerReference w:type="default" r:id="rId7"/>
      <w:footerReference w:type="default" r:id="rId8"/>
      <w:pgSz w:w="12240" w:h="20160" w:code="5"/>
      <w:pgMar w:top="1701" w:right="1701" w:bottom="1701" w:left="1701" w:header="850" w:footer="141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D0" w:rsidRDefault="006175D0" w:rsidP="00BE614D">
      <w:r>
        <w:separator/>
      </w:r>
    </w:p>
  </w:endnote>
  <w:endnote w:type="continuationSeparator" w:id="0">
    <w:p w:rsidR="006175D0" w:rsidRDefault="006175D0" w:rsidP="00BE6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6" w:rsidRDefault="000B4DA4" w:rsidP="00F125AE">
    <w:pPr>
      <w:pStyle w:val="Piedepgina"/>
      <w:rPr>
        <w:b/>
        <w:bCs/>
        <w:szCs w:val="24"/>
      </w:rPr>
    </w:pPr>
    <w:r>
      <w:rPr>
        <w:sz w:val="20"/>
        <w:lang w:val="es-ES"/>
      </w:rPr>
      <w:tab/>
    </w:r>
    <w:r w:rsidR="000A1E2E">
      <w:rPr>
        <w:sz w:val="16"/>
        <w:szCs w:val="16"/>
        <w:lang w:val="es-ES"/>
      </w:rPr>
      <w:t xml:space="preserve"> </w:t>
    </w:r>
    <w:r w:rsidR="000A1E2E" w:rsidRPr="00DF5471">
      <w:rPr>
        <w:sz w:val="16"/>
        <w:szCs w:val="16"/>
        <w:lang w:val="es-ES"/>
      </w:rPr>
      <w:t xml:space="preserve"> </w:t>
    </w:r>
    <w:r w:rsidR="000A1E2E">
      <w:rPr>
        <w:lang w:val="es-ES"/>
      </w:rPr>
      <w:tab/>
    </w:r>
    <w:r w:rsidR="004C3BC9">
      <w:rPr>
        <w:b/>
        <w:bCs/>
        <w:szCs w:val="24"/>
      </w:rPr>
      <w:fldChar w:fldCharType="begin"/>
    </w:r>
    <w:r w:rsidR="000A1E2E">
      <w:rPr>
        <w:b/>
        <w:bCs/>
      </w:rPr>
      <w:instrText>PAGE</w:instrText>
    </w:r>
    <w:r w:rsidR="004C3BC9">
      <w:rPr>
        <w:b/>
        <w:bCs/>
        <w:szCs w:val="24"/>
      </w:rPr>
      <w:fldChar w:fldCharType="separate"/>
    </w:r>
    <w:r w:rsidR="000546B9">
      <w:rPr>
        <w:b/>
        <w:bCs/>
        <w:noProof/>
      </w:rPr>
      <w:t>4</w:t>
    </w:r>
    <w:r w:rsidR="004C3BC9">
      <w:rPr>
        <w:b/>
        <w:bCs/>
        <w:szCs w:val="24"/>
      </w:rPr>
      <w:fldChar w:fldCharType="end"/>
    </w:r>
    <w:r w:rsidR="000A1E2E">
      <w:rPr>
        <w:lang w:val="es-ES"/>
      </w:rPr>
      <w:t xml:space="preserve"> de </w:t>
    </w:r>
    <w:r w:rsidR="004C3BC9">
      <w:rPr>
        <w:b/>
        <w:bCs/>
        <w:szCs w:val="24"/>
      </w:rPr>
      <w:fldChar w:fldCharType="begin"/>
    </w:r>
    <w:r w:rsidR="000A1E2E">
      <w:rPr>
        <w:b/>
        <w:bCs/>
      </w:rPr>
      <w:instrText>NUMPAGES</w:instrText>
    </w:r>
    <w:r w:rsidR="004C3BC9">
      <w:rPr>
        <w:b/>
        <w:bCs/>
        <w:szCs w:val="24"/>
      </w:rPr>
      <w:fldChar w:fldCharType="separate"/>
    </w:r>
    <w:r w:rsidR="000546B9">
      <w:rPr>
        <w:b/>
        <w:bCs/>
        <w:noProof/>
      </w:rPr>
      <w:t>5</w:t>
    </w:r>
    <w:r w:rsidR="004C3BC9">
      <w:rPr>
        <w:b/>
        <w:bCs/>
        <w:szCs w:val="24"/>
      </w:rPr>
      <w:fldChar w:fldCharType="end"/>
    </w:r>
  </w:p>
  <w:p w:rsidR="00894DC6" w:rsidRDefault="006175D0" w:rsidP="00F125AE">
    <w:pPr>
      <w:pStyle w:val="Piedepgina"/>
    </w:pPr>
  </w:p>
  <w:p w:rsidR="00894DC6" w:rsidRDefault="006175D0" w:rsidP="00F125AE">
    <w:pPr>
      <w:pStyle w:val="Piedepgina"/>
      <w:tabs>
        <w:tab w:val="clear" w:pos="4419"/>
        <w:tab w:val="clear" w:pos="8838"/>
        <w:tab w:val="left" w:pos="1978"/>
        <w:tab w:val="left" w:pos="2951"/>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D0" w:rsidRDefault="006175D0" w:rsidP="00BE614D">
      <w:r>
        <w:separator/>
      </w:r>
    </w:p>
  </w:footnote>
  <w:footnote w:type="continuationSeparator" w:id="0">
    <w:p w:rsidR="006175D0" w:rsidRDefault="006175D0" w:rsidP="00BE614D">
      <w:r>
        <w:continuationSeparator/>
      </w:r>
    </w:p>
  </w:footnote>
  <w:footnote w:id="1">
    <w:p w:rsidR="00BE614D" w:rsidRDefault="00BE614D" w:rsidP="00BE614D">
      <w:pPr>
        <w:pStyle w:val="Textonotapie"/>
        <w:jc w:val="both"/>
        <w:rPr>
          <w:lang w:val="es-CL"/>
        </w:rPr>
      </w:pPr>
      <w:r>
        <w:rPr>
          <w:rStyle w:val="Refdenotaalpie"/>
        </w:rPr>
        <w:footnoteRef/>
      </w:r>
      <w:r>
        <w:t xml:space="preserve"> </w:t>
      </w:r>
      <w:r>
        <w:rPr>
          <w:lang w:val="es-CL"/>
        </w:rPr>
        <w:t>Real Academia de la Lengua Española. (2014) Diccionario de la legua española. Madrid, España.</w:t>
      </w:r>
    </w:p>
    <w:p w:rsidR="00BE614D" w:rsidRPr="00DA5DE6" w:rsidRDefault="00BE614D" w:rsidP="00BE614D">
      <w:pPr>
        <w:pStyle w:val="Textonotapie"/>
        <w:jc w:val="both"/>
        <w:rPr>
          <w:lang w:val="es-CL"/>
        </w:rPr>
      </w:pPr>
    </w:p>
  </w:footnote>
  <w:footnote w:id="2">
    <w:p w:rsidR="00BE614D" w:rsidRDefault="00BE614D" w:rsidP="00BE614D">
      <w:pPr>
        <w:pStyle w:val="Textonotapie"/>
        <w:jc w:val="both"/>
      </w:pPr>
      <w:r>
        <w:rPr>
          <w:rStyle w:val="Refdenotaalpie"/>
        </w:rPr>
        <w:footnoteRef/>
      </w:r>
      <w:r>
        <w:t xml:space="preserve"> La Real Academia de la Lengua Española define a la corrupción al señalar: “en las organizaciones, especialmente en las públicas, práctica consistente en la utilización de las funciones y medios de aquellas en provecho, económico o de otra índole, de sus gestores”. Ibíd. </w:t>
      </w:r>
    </w:p>
    <w:p w:rsidR="00BE614D" w:rsidRPr="008839EE" w:rsidRDefault="00BE614D" w:rsidP="00BE614D">
      <w:pPr>
        <w:pStyle w:val="Textonotapie"/>
        <w:rPr>
          <w:lang w:val="es-CL"/>
        </w:rPr>
      </w:pPr>
    </w:p>
  </w:footnote>
  <w:footnote w:id="3">
    <w:p w:rsidR="00BE614D" w:rsidRPr="0040482A" w:rsidRDefault="00BE614D" w:rsidP="00BE614D">
      <w:pPr>
        <w:pStyle w:val="Textonotapie"/>
        <w:jc w:val="both"/>
      </w:pPr>
      <w:r>
        <w:rPr>
          <w:rStyle w:val="Refdenotaalpie"/>
        </w:rPr>
        <w:footnoteRef/>
      </w:r>
      <w:r>
        <w:t xml:space="preserve"> Garrido Montt expone que “estos delitos ofrecen la modalidad de que aunque su objetivo es la apropiación de bienes que pertenecen a terceros, esa apropiación la concreta el agente empleando recursos inmateriales, que se comprenden bajo la expresión genérica de fraudes (que pueden ser por engaño o por abuso de confianza). La fuerza física ni la coacción tienen lugar en ellos; estos últimos son los medios de apoderamiento que emplea el sujeto activo en el hurto y en el robo, que son delitos de apropiación también, pero esa fuerza o intimidación que les sirve de medio de apoderamiento destaca la clara diferencia que tienen con los que emplean el fraude (estafa y apropiación indebida), donde normalmente es la víctima la que voluntariamente entrega el bien o el derecho al delincuente, inducida por el engaño de que ha sido objeto o en mérito de un acto de confianza hacia aquél. El engaño y el abuso de confianza constituyen las dos fuentes del fraude”. Garrido Montt, M. (2008). Derecho Penal Parte Especial. Tomo IV. Santiago, Chile: Editorial Jurídica de Chile. p.328.</w:t>
      </w:r>
    </w:p>
  </w:footnote>
  <w:footnote w:id="4">
    <w:p w:rsidR="00BE614D" w:rsidRPr="0040482A" w:rsidRDefault="00BE614D" w:rsidP="00BE614D">
      <w:pPr>
        <w:pStyle w:val="Textonotapie"/>
      </w:pPr>
      <w:r>
        <w:rPr>
          <w:rStyle w:val="Refdenotaalpie"/>
        </w:rPr>
        <w:footnoteRef/>
      </w:r>
      <w:r>
        <w:t xml:space="preserve"> Mera Figueroa, J. (1994). Fraude civil y penal. El delito de entrega fraudulenta. Santiago, Chile: Editorial Jurídica Cono Sur Ltda. p.84.</w:t>
      </w:r>
    </w:p>
  </w:footnote>
  <w:footnote w:id="5">
    <w:p w:rsidR="00BE614D" w:rsidRPr="0070059E" w:rsidRDefault="00BE614D" w:rsidP="00BE614D">
      <w:pPr>
        <w:pStyle w:val="Textonotapie"/>
        <w:jc w:val="both"/>
      </w:pPr>
      <w:r>
        <w:rPr>
          <w:rStyle w:val="Refdenotaalpie"/>
        </w:rPr>
        <w:footnoteRef/>
      </w:r>
      <w:r>
        <w:t xml:space="preserve"> </w:t>
      </w:r>
      <w:proofErr w:type="spellStart"/>
      <w:r>
        <w:t>Caruso</w:t>
      </w:r>
      <w:proofErr w:type="spellEnd"/>
      <w:r>
        <w:t xml:space="preserve"> </w:t>
      </w:r>
      <w:proofErr w:type="spellStart"/>
      <w:r>
        <w:t>Fontán</w:t>
      </w:r>
      <w:proofErr w:type="spellEnd"/>
      <w:r>
        <w:t xml:space="preserve">, M. (2009). El concepto de corrupción. Su evolución hacia un nuevo delito de fraude en el deporte como forma de corrupción en el sector privado. Nueva Época, 9, pp.151-157. </w:t>
      </w:r>
    </w:p>
  </w:footnote>
  <w:footnote w:id="6">
    <w:p w:rsidR="00BE614D" w:rsidRPr="0070059E" w:rsidRDefault="00BE614D" w:rsidP="00BE614D">
      <w:pPr>
        <w:pStyle w:val="Textonotapie"/>
        <w:jc w:val="both"/>
      </w:pPr>
      <w:r>
        <w:rPr>
          <w:rStyle w:val="Refdenotaalpie"/>
        </w:rPr>
        <w:footnoteRef/>
      </w:r>
      <w:r>
        <w:t xml:space="preserve"> “El fraude es uno de aquellos conceptos jurídicos que se presentan en prácticamente todas las ramas del derecho. Se habla, así, de fraude constitucional, civil, comercial, tributario, administrativo, previsional, económico, etc. Tan general es el uso que el derecho hace de este término, que existe incluso el concepto de fraude a la ley”. Mera Figueroa, J. (1994). Fraude civil y penal. El delito de entrega fraudulenta. Santiago, Chile: Editorial Jurídica Cono Sur Ltda. pp.9-10. </w:t>
      </w:r>
    </w:p>
  </w:footnote>
  <w:footnote w:id="7">
    <w:p w:rsidR="00BE614D" w:rsidRPr="0070059E" w:rsidRDefault="00BE614D" w:rsidP="00BE614D">
      <w:pPr>
        <w:pStyle w:val="Textonotapie"/>
        <w:jc w:val="both"/>
        <w:rPr>
          <w:lang w:val="es-CL"/>
        </w:rPr>
      </w:pPr>
      <w:r>
        <w:rPr>
          <w:rStyle w:val="Refdenotaalpie"/>
        </w:rPr>
        <w:footnoteRef/>
      </w:r>
      <w:r>
        <w:t xml:space="preserve"> </w:t>
      </w:r>
      <w:r>
        <w:rPr>
          <w:lang w:val="es-CL"/>
        </w:rPr>
        <w:t xml:space="preserve">Téngase presente el caso de la República Argentina que ya trabaja en el anteproyecto para un nuevo Código Penal, el que establece sin lugar a dudas varias sanciones penales cometidas en el contexto del deporte. A saber: </w:t>
      </w:r>
      <w:r w:rsidRPr="005C61F2">
        <w:rPr>
          <w:lang w:val="es-CL"/>
        </w:rPr>
        <w:t>Los delitos en el deporte en el nuevo Código Penal</w:t>
      </w:r>
      <w:r>
        <w:rPr>
          <w:lang w:val="es-CL"/>
        </w:rPr>
        <w:t xml:space="preserve">. </w:t>
      </w:r>
      <w:hyperlink r:id="rId1" w:history="1">
        <w:r w:rsidRPr="0013179A">
          <w:rPr>
            <w:rStyle w:val="Hipervnculo"/>
            <w:lang w:val="es-CL"/>
          </w:rPr>
          <w:t>https://www.msn.com/es-ar/noticias/otras/los-delitos-en-el-deporte-en-el-nuevo-c%C3%B3digo-penal/ar-BBPzRGB</w:t>
        </w:r>
      </w:hyperlink>
      <w:r>
        <w:rPr>
          <w:lang w:val="es-C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6" w:rsidRPr="009379A1" w:rsidRDefault="00BE614D" w:rsidP="00F125AE">
    <w:pPr>
      <w:pStyle w:val="Encabezado"/>
      <w:jc w:val="right"/>
      <w:rPr>
        <w:sz w:val="20"/>
      </w:rPr>
    </w:pPr>
    <w:r>
      <w:rPr>
        <w:noProof/>
        <w:sz w:val="20"/>
        <w:lang w:val="es-ES"/>
      </w:rPr>
      <w:drawing>
        <wp:anchor distT="0" distB="0" distL="114300" distR="114300" simplePos="0" relativeHeight="251659264" behindDoc="1" locked="0" layoutInCell="1" allowOverlap="1">
          <wp:simplePos x="0" y="0"/>
          <wp:positionH relativeFrom="margin">
            <wp:posOffset>-1270</wp:posOffset>
          </wp:positionH>
          <wp:positionV relativeFrom="paragraph">
            <wp:posOffset>-111125</wp:posOffset>
          </wp:positionV>
          <wp:extent cx="749935" cy="725170"/>
          <wp:effectExtent l="0" t="0" r="0" b="0"/>
          <wp:wrapNone/>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935" cy="725170"/>
                  </a:xfrm>
                  <a:prstGeom prst="rect">
                    <a:avLst/>
                  </a:prstGeom>
                  <a:noFill/>
                  <a:ln>
                    <a:noFill/>
                  </a:ln>
                </pic:spPr>
              </pic:pic>
            </a:graphicData>
          </a:graphic>
        </wp:anchor>
      </w:drawing>
    </w:r>
    <w:r w:rsidR="000A1E2E" w:rsidRPr="009379A1">
      <w:rPr>
        <w:sz w:val="20"/>
      </w:rPr>
      <w:t>Diputado Sebastián Keitel B.</w:t>
    </w:r>
  </w:p>
  <w:p w:rsidR="00894DC6" w:rsidRPr="009379A1" w:rsidRDefault="000A1E2E" w:rsidP="00F125AE">
    <w:pPr>
      <w:pStyle w:val="Encabezado"/>
      <w:jc w:val="right"/>
      <w:rPr>
        <w:sz w:val="20"/>
      </w:rPr>
    </w:pPr>
    <w:r w:rsidRPr="009379A1">
      <w:rPr>
        <w:sz w:val="20"/>
      </w:rPr>
      <w:t>Cámara de Diputados de Chile</w:t>
    </w:r>
  </w:p>
  <w:p w:rsidR="00894DC6" w:rsidRPr="009379A1" w:rsidRDefault="00BE614D" w:rsidP="00A92A99">
    <w:pPr>
      <w:pStyle w:val="Encabezado"/>
      <w:ind w:left="4252" w:hanging="4252"/>
      <w:jc w:val="right"/>
      <w:rPr>
        <w:sz w:val="20"/>
      </w:rPr>
    </w:pPr>
    <w:r>
      <w:rPr>
        <w:sz w:val="20"/>
      </w:rPr>
      <w:t>Valparaíso, enero</w:t>
    </w:r>
    <w:r w:rsidR="000A1E2E">
      <w:rPr>
        <w:sz w:val="20"/>
      </w:rPr>
      <w:t xml:space="preserve"> </w:t>
    </w:r>
    <w:r>
      <w:rPr>
        <w:sz w:val="20"/>
      </w:rPr>
      <w:t>de 2020</w:t>
    </w:r>
  </w:p>
  <w:p w:rsidR="00894DC6" w:rsidRDefault="006175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F6F9F"/>
    <w:multiLevelType w:val="hybridMultilevel"/>
    <w:tmpl w:val="4BE03D50"/>
    <w:lvl w:ilvl="0" w:tplc="9ECED64A">
      <w:start w:val="1"/>
      <w:numFmt w:val="decimal"/>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614D"/>
    <w:rsid w:val="000546B9"/>
    <w:rsid w:val="000A1E2E"/>
    <w:rsid w:val="000B4DA4"/>
    <w:rsid w:val="002626A3"/>
    <w:rsid w:val="00297EEC"/>
    <w:rsid w:val="002F0785"/>
    <w:rsid w:val="00366463"/>
    <w:rsid w:val="004C3BC9"/>
    <w:rsid w:val="006175D0"/>
    <w:rsid w:val="00636818"/>
    <w:rsid w:val="008C449A"/>
    <w:rsid w:val="008E677B"/>
    <w:rsid w:val="00BB29AE"/>
    <w:rsid w:val="00BC61F8"/>
    <w:rsid w:val="00BE614D"/>
    <w:rsid w:val="00E4637C"/>
    <w:rsid w:val="00F24FB2"/>
    <w:rsid w:val="00F553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4D"/>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614D"/>
    <w:pPr>
      <w:jc w:val="both"/>
    </w:pPr>
    <w:rPr>
      <w:b/>
    </w:rPr>
  </w:style>
  <w:style w:type="character" w:customStyle="1" w:styleId="TextoindependienteCar">
    <w:name w:val="Texto independiente Car"/>
    <w:basedOn w:val="Fuentedeprrafopredeter"/>
    <w:link w:val="Textoindependiente"/>
    <w:rsid w:val="00BE614D"/>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BE614D"/>
    <w:pPr>
      <w:tabs>
        <w:tab w:val="center" w:pos="4252"/>
        <w:tab w:val="right" w:pos="8504"/>
      </w:tabs>
    </w:pPr>
  </w:style>
  <w:style w:type="character" w:customStyle="1" w:styleId="EncabezadoCar">
    <w:name w:val="Encabezado Car"/>
    <w:basedOn w:val="Fuentedeprrafopredeter"/>
    <w:link w:val="Encabezado"/>
    <w:uiPriority w:val="99"/>
    <w:rsid w:val="00BE614D"/>
    <w:rPr>
      <w:rFonts w:ascii="Times New Roman" w:eastAsia="Times New Roman" w:hAnsi="Times New Roman" w:cs="Times New Roman"/>
      <w:sz w:val="24"/>
      <w:szCs w:val="20"/>
      <w:lang w:val="es-ES_tradnl" w:eastAsia="es-ES"/>
    </w:rPr>
  </w:style>
  <w:style w:type="paragraph" w:customStyle="1" w:styleId="Style1">
    <w:name w:val="Style 1"/>
    <w:uiPriority w:val="99"/>
    <w:rsid w:val="00BE614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BE614D"/>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BE614D"/>
    <w:rPr>
      <w:rFonts w:ascii="Bookman Old Style" w:hAnsi="Bookman Old Style" w:cs="Bookman Old Style"/>
      <w:sz w:val="20"/>
      <w:szCs w:val="20"/>
    </w:rPr>
  </w:style>
  <w:style w:type="character" w:styleId="Hipervnculo">
    <w:name w:val="Hyperlink"/>
    <w:basedOn w:val="Fuentedeprrafopredeter"/>
    <w:uiPriority w:val="99"/>
    <w:unhideWhenUsed/>
    <w:rsid w:val="00BE614D"/>
    <w:rPr>
      <w:color w:val="0563C1"/>
      <w:u w:val="single"/>
    </w:rPr>
  </w:style>
  <w:style w:type="paragraph" w:styleId="Piedepgina">
    <w:name w:val="footer"/>
    <w:basedOn w:val="Normal"/>
    <w:link w:val="PiedepginaCar"/>
    <w:uiPriority w:val="99"/>
    <w:unhideWhenUsed/>
    <w:rsid w:val="00BE614D"/>
    <w:pPr>
      <w:tabs>
        <w:tab w:val="center" w:pos="4419"/>
        <w:tab w:val="right" w:pos="8838"/>
      </w:tabs>
    </w:pPr>
  </w:style>
  <w:style w:type="character" w:customStyle="1" w:styleId="PiedepginaCar">
    <w:name w:val="Pie de página Car"/>
    <w:basedOn w:val="Fuentedeprrafopredeter"/>
    <w:link w:val="Piedepgina"/>
    <w:uiPriority w:val="99"/>
    <w:rsid w:val="00BE614D"/>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uiPriority w:val="99"/>
    <w:unhideWhenUsed/>
    <w:rsid w:val="00BE614D"/>
    <w:rPr>
      <w:sz w:val="20"/>
    </w:rPr>
  </w:style>
  <w:style w:type="character" w:customStyle="1" w:styleId="TextonotapieCar">
    <w:name w:val="Texto nota pie Car"/>
    <w:basedOn w:val="Fuentedeprrafopredeter"/>
    <w:link w:val="Textonotapie"/>
    <w:uiPriority w:val="99"/>
    <w:rsid w:val="00BE614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BE614D"/>
    <w:rPr>
      <w:vertAlign w:val="superscript"/>
    </w:rPr>
  </w:style>
  <w:style w:type="paragraph" w:styleId="Prrafodelista">
    <w:name w:val="List Paragraph"/>
    <w:basedOn w:val="Normal"/>
    <w:uiPriority w:val="34"/>
    <w:qFormat/>
    <w:rsid w:val="00BE61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sn.com/es-ar/noticias/otras/los-delitos-en-el-deporte-en-el-nuevo-c%C3%B3digo-penal/ar-BBPzR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Guillermo Diaz Vallejos</cp:lastModifiedBy>
  <cp:revision>4</cp:revision>
  <dcterms:created xsi:type="dcterms:W3CDTF">2020-01-21T19:05:00Z</dcterms:created>
  <dcterms:modified xsi:type="dcterms:W3CDTF">2020-01-29T20:29:00Z</dcterms:modified>
</cp:coreProperties>
</file>