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83B" w:rsidRDefault="00926D75" w:rsidP="00326C14">
      <w:pPr>
        <w:ind w:right="-234"/>
        <w:jc w:val="center"/>
        <w:rPr>
          <w:b/>
        </w:rPr>
      </w:pPr>
      <w:r>
        <w:rPr>
          <w:b/>
          <w:noProof/>
          <w:lang w:eastAsia="es-ES"/>
        </w:rPr>
        <w:drawing>
          <wp:inline distT="114300" distB="114300" distL="114300" distR="114300">
            <wp:extent cx="676275" cy="7048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676275" cy="704850"/>
                    </a:xfrm>
                    <a:prstGeom prst="rect">
                      <a:avLst/>
                    </a:prstGeom>
                    <a:ln/>
                  </pic:spPr>
                </pic:pic>
              </a:graphicData>
            </a:graphic>
          </wp:inline>
        </w:drawing>
      </w:r>
    </w:p>
    <w:p w:rsidR="00A0283B" w:rsidRDefault="00A0283B" w:rsidP="00326C14">
      <w:pPr>
        <w:ind w:right="-234"/>
        <w:jc w:val="center"/>
        <w:rPr>
          <w:b/>
        </w:rPr>
      </w:pPr>
    </w:p>
    <w:p w:rsidR="00326C14" w:rsidRDefault="00326C14" w:rsidP="00326C14">
      <w:pPr>
        <w:ind w:right="-234"/>
        <w:jc w:val="center"/>
        <w:rPr>
          <w:b/>
        </w:rPr>
      </w:pPr>
    </w:p>
    <w:p w:rsidR="00A0283B" w:rsidRDefault="00326C14" w:rsidP="00326C14">
      <w:pPr>
        <w:ind w:right="-234"/>
        <w:jc w:val="both"/>
        <w:rPr>
          <w:rFonts w:ascii="Arial" w:eastAsia="Arial" w:hAnsi="Arial" w:cs="Arial"/>
          <w:b/>
        </w:rPr>
      </w:pPr>
      <w:r w:rsidRPr="00326C14">
        <w:rPr>
          <w:rFonts w:ascii="Arial" w:eastAsia="Arial" w:hAnsi="Arial" w:cs="Arial"/>
          <w:b/>
        </w:rPr>
        <w:t xml:space="preserve">Modifica la ley N°18.556, orgánica constitucional sobre Sistema de inscripciones electorales y Servicio Electoral, para incorporar un procedimiento de </w:t>
      </w:r>
      <w:proofErr w:type="spellStart"/>
      <w:r w:rsidRPr="00326C14">
        <w:rPr>
          <w:rFonts w:ascii="Arial" w:eastAsia="Arial" w:hAnsi="Arial" w:cs="Arial"/>
          <w:b/>
        </w:rPr>
        <w:t>desinscripción</w:t>
      </w:r>
      <w:proofErr w:type="spellEnd"/>
      <w:r w:rsidRPr="00326C14">
        <w:rPr>
          <w:rFonts w:ascii="Arial" w:eastAsia="Arial" w:hAnsi="Arial" w:cs="Arial"/>
          <w:b/>
        </w:rPr>
        <w:t xml:space="preserve"> voluntaria del registro electoral</w:t>
      </w:r>
    </w:p>
    <w:p w:rsidR="00326C14" w:rsidRDefault="00326C14" w:rsidP="00326C14">
      <w:pPr>
        <w:ind w:right="-234"/>
        <w:jc w:val="center"/>
        <w:rPr>
          <w:rFonts w:ascii="Arial" w:eastAsia="Arial" w:hAnsi="Arial" w:cs="Arial"/>
          <w:b/>
        </w:rPr>
      </w:pPr>
    </w:p>
    <w:p w:rsidR="00326C14" w:rsidRDefault="00326C14" w:rsidP="00326C14">
      <w:pPr>
        <w:ind w:right="-234"/>
        <w:jc w:val="center"/>
        <w:rPr>
          <w:rFonts w:ascii="Arial" w:eastAsia="Arial" w:hAnsi="Arial" w:cs="Arial"/>
          <w:b/>
        </w:rPr>
      </w:pPr>
      <w:r>
        <w:rPr>
          <w:rFonts w:ascii="Arial" w:eastAsia="Arial" w:hAnsi="Arial" w:cs="Arial"/>
          <w:b/>
        </w:rPr>
        <w:t>Boletín N° 13159-06</w:t>
      </w:r>
    </w:p>
    <w:p w:rsidR="00813512" w:rsidRDefault="00813512" w:rsidP="00326C14">
      <w:pPr>
        <w:ind w:right="-234"/>
        <w:jc w:val="both"/>
        <w:rPr>
          <w:rFonts w:ascii="Arial" w:eastAsia="Arial" w:hAnsi="Arial" w:cs="Arial"/>
          <w:b/>
        </w:rPr>
      </w:pPr>
    </w:p>
    <w:p w:rsidR="00813512" w:rsidRDefault="00813512" w:rsidP="00326C14">
      <w:pPr>
        <w:ind w:right="-234"/>
        <w:jc w:val="both"/>
        <w:rPr>
          <w:rFonts w:ascii="Arial" w:eastAsia="Arial" w:hAnsi="Arial" w:cs="Arial"/>
          <w:b/>
        </w:rPr>
      </w:pPr>
    </w:p>
    <w:p w:rsidR="00A0283B" w:rsidRDefault="00813512" w:rsidP="00326C14">
      <w:pPr>
        <w:spacing w:line="360" w:lineRule="auto"/>
        <w:ind w:right="-234"/>
        <w:jc w:val="both"/>
        <w:rPr>
          <w:rFonts w:ascii="Arial" w:eastAsia="Arial" w:hAnsi="Arial" w:cs="Arial"/>
          <w:b/>
        </w:rPr>
      </w:pPr>
      <w:r>
        <w:rPr>
          <w:rFonts w:ascii="Arial" w:eastAsia="Arial" w:hAnsi="Arial" w:cs="Arial"/>
          <w:b/>
        </w:rPr>
        <w:t>ANTECEDENTES</w:t>
      </w:r>
    </w:p>
    <w:p w:rsidR="00AA7C1F" w:rsidRDefault="00AA7C1F" w:rsidP="00326C14">
      <w:pPr>
        <w:spacing w:line="360" w:lineRule="auto"/>
        <w:ind w:right="-234"/>
        <w:jc w:val="both"/>
        <w:rPr>
          <w:rFonts w:ascii="Arial" w:eastAsia="Arial" w:hAnsi="Arial" w:cs="Arial"/>
          <w:b/>
        </w:rPr>
      </w:pPr>
    </w:p>
    <w:p w:rsidR="00A0283B" w:rsidRDefault="00B03203" w:rsidP="00326C14">
      <w:pPr>
        <w:spacing w:line="360" w:lineRule="auto"/>
        <w:ind w:right="-234"/>
        <w:jc w:val="both"/>
        <w:rPr>
          <w:rFonts w:ascii="Arial" w:eastAsia="Arial" w:hAnsi="Arial" w:cs="Arial"/>
          <w:bCs/>
        </w:rPr>
      </w:pPr>
      <w:r>
        <w:rPr>
          <w:rFonts w:ascii="Arial" w:eastAsia="Arial" w:hAnsi="Arial" w:cs="Arial"/>
          <w:bCs/>
        </w:rPr>
        <w:t xml:space="preserve">El 31 de enero del 2012, entró en vigencia la reforma constitucional que modifica los artículos 15 y 18 de la Carta Fundamental, con el objeto de consagrar el sufragio como un derecho de los ciudadanos y de su inscripción automática en los Registros Electorales. Con esta modificación se cambia expresamente el estatus del voto de obligatorio a voluntario. </w:t>
      </w:r>
    </w:p>
    <w:p w:rsidR="00B03203" w:rsidRDefault="00B03203" w:rsidP="00326C14">
      <w:pPr>
        <w:spacing w:line="360" w:lineRule="auto"/>
        <w:ind w:right="-234"/>
        <w:jc w:val="both"/>
        <w:rPr>
          <w:rFonts w:ascii="Arial" w:eastAsia="Arial" w:hAnsi="Arial" w:cs="Arial"/>
          <w:bCs/>
        </w:rPr>
      </w:pPr>
    </w:p>
    <w:p w:rsidR="00B03203" w:rsidRDefault="00B03203" w:rsidP="00326C14">
      <w:pPr>
        <w:spacing w:line="360" w:lineRule="auto"/>
        <w:ind w:right="-234"/>
        <w:jc w:val="both"/>
        <w:rPr>
          <w:rFonts w:ascii="Arial" w:eastAsia="Arial" w:hAnsi="Arial" w:cs="Arial"/>
          <w:bCs/>
        </w:rPr>
      </w:pPr>
      <w:r>
        <w:rPr>
          <w:rFonts w:ascii="Arial" w:eastAsia="Arial" w:hAnsi="Arial" w:cs="Arial"/>
          <w:bCs/>
        </w:rPr>
        <w:t>Esta reforma fue de carácter constitucional por lo que se requería de un sólido acuerdo político. En ese entonces el problema era el progresivo envejecimiento del padrón electoral, producto de la baja proporción de jóvenes que se inscribían para votar. Así, como la población se incrementaba año a año, la proporción de ciudadanos que participaba de las elecciones comenzó a reducirse drásticamente.</w:t>
      </w:r>
    </w:p>
    <w:p w:rsidR="00B03203" w:rsidRDefault="00B03203" w:rsidP="00326C14">
      <w:pPr>
        <w:spacing w:line="360" w:lineRule="auto"/>
        <w:ind w:right="-234"/>
        <w:jc w:val="both"/>
        <w:rPr>
          <w:rFonts w:ascii="Arial" w:eastAsia="Arial" w:hAnsi="Arial" w:cs="Arial"/>
          <w:bCs/>
        </w:rPr>
      </w:pPr>
    </w:p>
    <w:p w:rsidR="00AA7C1F" w:rsidRDefault="00B03203" w:rsidP="00326C14">
      <w:pPr>
        <w:spacing w:line="360" w:lineRule="auto"/>
        <w:ind w:right="-234"/>
        <w:jc w:val="both"/>
        <w:rPr>
          <w:rFonts w:ascii="Arial" w:eastAsia="Arial" w:hAnsi="Arial" w:cs="Arial"/>
          <w:bCs/>
        </w:rPr>
      </w:pPr>
      <w:r>
        <w:rPr>
          <w:rFonts w:ascii="Arial" w:eastAsia="Arial" w:hAnsi="Arial" w:cs="Arial"/>
          <w:bCs/>
        </w:rPr>
        <w:t xml:space="preserve">Sin embargo, pasados diez años de ese momento y transcurridas varias elecciones, se observa una caída preocupante en la participación electoral con niveles menores al 50% para las elecciones presidenciales y menores al 40% para las elecciones de alcaldes y concejales. </w:t>
      </w:r>
    </w:p>
    <w:p w:rsidR="00AA7C1F" w:rsidRDefault="00AA7C1F" w:rsidP="00326C14">
      <w:pPr>
        <w:spacing w:line="360" w:lineRule="auto"/>
        <w:ind w:right="-234"/>
        <w:jc w:val="both"/>
        <w:rPr>
          <w:rFonts w:ascii="Arial" w:eastAsia="Arial" w:hAnsi="Arial" w:cs="Arial"/>
          <w:bCs/>
        </w:rPr>
      </w:pPr>
    </w:p>
    <w:p w:rsidR="00B03203" w:rsidRDefault="00B03203" w:rsidP="00326C14">
      <w:pPr>
        <w:spacing w:line="360" w:lineRule="auto"/>
        <w:ind w:right="-234"/>
        <w:jc w:val="both"/>
        <w:rPr>
          <w:rFonts w:ascii="Arial" w:eastAsia="Arial" w:hAnsi="Arial" w:cs="Arial"/>
          <w:bCs/>
        </w:rPr>
      </w:pPr>
      <w:r>
        <w:rPr>
          <w:rFonts w:ascii="Arial" w:eastAsia="Arial" w:hAnsi="Arial" w:cs="Arial"/>
          <w:bCs/>
        </w:rPr>
        <w:t xml:space="preserve">Un presidente que obtiene más del 50% de los votos, en realidad está representando menos del 30% del total de la ciudadanía. Así, por ejemplo, el Presidente Sebastián Piñera, en las elecciones de 2017 fue votado por 3.7 millones </w:t>
      </w:r>
      <w:r>
        <w:rPr>
          <w:rFonts w:ascii="Arial" w:eastAsia="Arial" w:hAnsi="Arial" w:cs="Arial"/>
          <w:bCs/>
        </w:rPr>
        <w:lastRenderedPageBreak/>
        <w:t>de electores que representaron el 54,6% de los que concurrieron a votar, pero en la realidad aquella cifra representa solo el 26,4% del padrón electoral</w:t>
      </w:r>
      <w:r w:rsidR="00AA7C1F">
        <w:rPr>
          <w:rFonts w:ascii="Arial" w:eastAsia="Arial" w:hAnsi="Arial" w:cs="Arial"/>
          <w:bCs/>
        </w:rPr>
        <w:t>, generándose</w:t>
      </w:r>
      <w:r w:rsidR="00326C14">
        <w:rPr>
          <w:rFonts w:ascii="Arial" w:eastAsia="Arial" w:hAnsi="Arial" w:cs="Arial"/>
          <w:bCs/>
        </w:rPr>
        <w:t xml:space="preserve"> </w:t>
      </w:r>
      <w:r>
        <w:rPr>
          <w:rFonts w:ascii="Arial" w:eastAsia="Arial" w:hAnsi="Arial" w:cs="Arial"/>
          <w:bCs/>
        </w:rPr>
        <w:t xml:space="preserve"> así una verdadera ficción en la representación</w:t>
      </w:r>
      <w:r>
        <w:rPr>
          <w:rStyle w:val="Refdenotaalpie"/>
          <w:rFonts w:ascii="Arial" w:eastAsia="Arial" w:hAnsi="Arial" w:cs="Arial"/>
          <w:bCs/>
        </w:rPr>
        <w:footnoteReference w:id="1"/>
      </w:r>
      <w:r>
        <w:rPr>
          <w:rFonts w:ascii="Arial" w:eastAsia="Arial" w:hAnsi="Arial" w:cs="Arial"/>
          <w:bCs/>
        </w:rPr>
        <w:t>.</w:t>
      </w:r>
      <w:r w:rsidR="00AA7C1F">
        <w:rPr>
          <w:rFonts w:ascii="Arial" w:eastAsia="Arial" w:hAnsi="Arial" w:cs="Arial"/>
          <w:bCs/>
        </w:rPr>
        <w:t xml:space="preserve"> La Reforma había fracasado.</w:t>
      </w:r>
    </w:p>
    <w:p w:rsidR="00B03203" w:rsidRDefault="00B03203" w:rsidP="00326C14">
      <w:pPr>
        <w:spacing w:line="360" w:lineRule="auto"/>
        <w:ind w:right="-234"/>
        <w:jc w:val="both"/>
        <w:rPr>
          <w:rFonts w:ascii="Arial" w:eastAsia="Arial" w:hAnsi="Arial" w:cs="Arial"/>
          <w:bCs/>
        </w:rPr>
      </w:pPr>
    </w:p>
    <w:p w:rsidR="00B03203" w:rsidRDefault="00B03203" w:rsidP="00326C14">
      <w:pPr>
        <w:spacing w:line="360" w:lineRule="auto"/>
        <w:ind w:right="-234"/>
        <w:jc w:val="both"/>
        <w:rPr>
          <w:rFonts w:ascii="Arial" w:eastAsia="Arial" w:hAnsi="Arial" w:cs="Arial"/>
          <w:bCs/>
        </w:rPr>
      </w:pPr>
      <w:r>
        <w:rPr>
          <w:rFonts w:ascii="Arial" w:eastAsia="Arial" w:hAnsi="Arial" w:cs="Arial"/>
          <w:bCs/>
        </w:rPr>
        <w:t xml:space="preserve">De esta manera, este Congreso Nacional ha vuelto a la discusión de reponer la obligatoriedad del voto manteniendo un sistema de inscripción automático. </w:t>
      </w:r>
    </w:p>
    <w:p w:rsidR="00B03203" w:rsidRDefault="00B03203" w:rsidP="00326C14">
      <w:pPr>
        <w:spacing w:line="360" w:lineRule="auto"/>
        <w:ind w:right="-234"/>
        <w:jc w:val="both"/>
        <w:rPr>
          <w:rFonts w:ascii="Arial" w:eastAsia="Arial" w:hAnsi="Arial" w:cs="Arial"/>
          <w:bCs/>
        </w:rPr>
      </w:pPr>
    </w:p>
    <w:p w:rsidR="00B03203" w:rsidRDefault="00B03203" w:rsidP="00326C14">
      <w:pPr>
        <w:spacing w:line="360" w:lineRule="auto"/>
        <w:ind w:right="-234"/>
        <w:jc w:val="both"/>
        <w:rPr>
          <w:rFonts w:ascii="Arial" w:eastAsia="Arial" w:hAnsi="Arial" w:cs="Arial"/>
          <w:bCs/>
        </w:rPr>
      </w:pPr>
      <w:r>
        <w:rPr>
          <w:rFonts w:ascii="Arial" w:eastAsia="Arial" w:hAnsi="Arial" w:cs="Arial"/>
          <w:bCs/>
        </w:rPr>
        <w:t>El argumento de la participación debe ser tenido en cuenta y considerado con mayor detalle. El aumento de la participación electoral es lo que la reforma del año 2009 buscaba incentivar</w:t>
      </w:r>
      <w:r w:rsidR="00AA7C1F">
        <w:rPr>
          <w:rFonts w:ascii="Arial" w:eastAsia="Arial" w:hAnsi="Arial" w:cs="Arial"/>
          <w:bCs/>
        </w:rPr>
        <w:t xml:space="preserve"> ya que se pensó que el </w:t>
      </w:r>
      <w:r>
        <w:rPr>
          <w:rFonts w:ascii="Arial" w:eastAsia="Arial" w:hAnsi="Arial" w:cs="Arial"/>
          <w:bCs/>
        </w:rPr>
        <w:t>sistema de sufragio obligatorio e inscripción voluntaria ha</w:t>
      </w:r>
      <w:r w:rsidR="00AA7C1F">
        <w:rPr>
          <w:rFonts w:ascii="Arial" w:eastAsia="Arial" w:hAnsi="Arial" w:cs="Arial"/>
          <w:bCs/>
        </w:rPr>
        <w:t>bía</w:t>
      </w:r>
      <w:r>
        <w:rPr>
          <w:rFonts w:ascii="Arial" w:eastAsia="Arial" w:hAnsi="Arial" w:cs="Arial"/>
          <w:bCs/>
        </w:rPr>
        <w:t xml:space="preserve"> llevado a </w:t>
      </w:r>
      <w:r w:rsidR="00AA7C1F">
        <w:rPr>
          <w:rFonts w:ascii="Arial" w:eastAsia="Arial" w:hAnsi="Arial" w:cs="Arial"/>
          <w:bCs/>
        </w:rPr>
        <w:t>la</w:t>
      </w:r>
      <w:r>
        <w:rPr>
          <w:rFonts w:ascii="Arial" w:eastAsia="Arial" w:hAnsi="Arial" w:cs="Arial"/>
          <w:bCs/>
        </w:rPr>
        <w:t xml:space="preserve"> tendencia </w:t>
      </w:r>
      <w:r w:rsidR="00AA7C1F">
        <w:rPr>
          <w:rFonts w:ascii="Arial" w:eastAsia="Arial" w:hAnsi="Arial" w:cs="Arial"/>
          <w:bCs/>
        </w:rPr>
        <w:t>de</w:t>
      </w:r>
      <w:r>
        <w:rPr>
          <w:rFonts w:ascii="Arial" w:eastAsia="Arial" w:hAnsi="Arial" w:cs="Arial"/>
          <w:bCs/>
        </w:rPr>
        <w:t xml:space="preserve"> la disminución de la participación en las elecciones. </w:t>
      </w:r>
    </w:p>
    <w:p w:rsidR="00B03203" w:rsidRDefault="00B03203" w:rsidP="00326C14">
      <w:pPr>
        <w:spacing w:line="360" w:lineRule="auto"/>
        <w:ind w:right="-234"/>
        <w:jc w:val="both"/>
        <w:rPr>
          <w:rFonts w:ascii="Arial" w:eastAsia="Arial" w:hAnsi="Arial" w:cs="Arial"/>
          <w:bCs/>
        </w:rPr>
      </w:pPr>
    </w:p>
    <w:p w:rsidR="00B03203" w:rsidRDefault="00B03203" w:rsidP="00326C14">
      <w:pPr>
        <w:spacing w:line="360" w:lineRule="auto"/>
        <w:ind w:right="-234"/>
        <w:jc w:val="both"/>
        <w:rPr>
          <w:rFonts w:ascii="Arial" w:eastAsia="Arial" w:hAnsi="Arial" w:cs="Arial"/>
          <w:bCs/>
        </w:rPr>
      </w:pPr>
      <w:r>
        <w:rPr>
          <w:rFonts w:ascii="Arial" w:eastAsia="Arial" w:hAnsi="Arial" w:cs="Arial"/>
          <w:bCs/>
        </w:rPr>
        <w:t>Así, ante ese escenario, y bajo el argumento de la participación se concluyó en ese entonces que si el voto es voluntario, la inscripción debe ser automática. Sin embargo, dicho esquema no garantiza un flujo de participación electoral como sí lo garantizaría un sistema obligatorio-automático</w:t>
      </w:r>
      <w:r w:rsidR="00AA7C1F">
        <w:rPr>
          <w:rFonts w:ascii="Arial" w:eastAsia="Arial" w:hAnsi="Arial" w:cs="Arial"/>
          <w:bCs/>
        </w:rPr>
        <w:t xml:space="preserve"> </w:t>
      </w:r>
      <w:r>
        <w:rPr>
          <w:rStyle w:val="Refdenotaalpie"/>
          <w:rFonts w:ascii="Arial" w:eastAsia="Arial" w:hAnsi="Arial" w:cs="Arial"/>
          <w:bCs/>
        </w:rPr>
        <w:footnoteReference w:id="2"/>
      </w:r>
      <w:r>
        <w:rPr>
          <w:rFonts w:ascii="Arial" w:eastAsia="Arial" w:hAnsi="Arial" w:cs="Arial"/>
          <w:bCs/>
        </w:rPr>
        <w:t xml:space="preserve">. </w:t>
      </w:r>
    </w:p>
    <w:p w:rsidR="00B03203" w:rsidRDefault="00B03203" w:rsidP="00326C14">
      <w:pPr>
        <w:spacing w:line="360" w:lineRule="auto"/>
        <w:ind w:right="-234"/>
        <w:jc w:val="both"/>
        <w:rPr>
          <w:rFonts w:ascii="Arial" w:eastAsia="Arial" w:hAnsi="Arial" w:cs="Arial"/>
          <w:bCs/>
        </w:rPr>
      </w:pPr>
    </w:p>
    <w:p w:rsidR="00B03203" w:rsidRDefault="00B03203" w:rsidP="00326C14">
      <w:pPr>
        <w:spacing w:line="360" w:lineRule="auto"/>
        <w:ind w:right="-234"/>
        <w:jc w:val="both"/>
        <w:rPr>
          <w:rFonts w:ascii="Arial" w:eastAsia="Arial" w:hAnsi="Arial" w:cs="Arial"/>
          <w:bCs/>
        </w:rPr>
      </w:pPr>
      <w:r>
        <w:rPr>
          <w:rFonts w:ascii="Arial" w:eastAsia="Arial" w:hAnsi="Arial" w:cs="Arial"/>
          <w:bCs/>
        </w:rPr>
        <w:t xml:space="preserve">Y precisamente este sería el esquema </w:t>
      </w:r>
      <w:r w:rsidR="00AA7C1F">
        <w:rPr>
          <w:rFonts w:ascii="Arial" w:eastAsia="Arial" w:hAnsi="Arial" w:cs="Arial"/>
          <w:bCs/>
        </w:rPr>
        <w:t>con el que</w:t>
      </w:r>
      <w:r>
        <w:rPr>
          <w:rFonts w:ascii="Arial" w:eastAsia="Arial" w:hAnsi="Arial" w:cs="Arial"/>
          <w:bCs/>
        </w:rPr>
        <w:t xml:space="preserve"> </w:t>
      </w:r>
      <w:r w:rsidR="00AA7C1F">
        <w:rPr>
          <w:rFonts w:ascii="Arial" w:eastAsia="Arial" w:hAnsi="Arial" w:cs="Arial"/>
          <w:bCs/>
        </w:rPr>
        <w:t xml:space="preserve">debiésemos contar de aprobarse la reposición del voto obligatorio. </w:t>
      </w:r>
    </w:p>
    <w:p w:rsidR="00B03203" w:rsidRDefault="00B03203" w:rsidP="00326C14">
      <w:pPr>
        <w:spacing w:line="360" w:lineRule="auto"/>
        <w:ind w:right="-234"/>
        <w:jc w:val="both"/>
        <w:rPr>
          <w:rFonts w:ascii="Arial" w:eastAsia="Arial" w:hAnsi="Arial" w:cs="Arial"/>
          <w:bCs/>
        </w:rPr>
      </w:pPr>
    </w:p>
    <w:p w:rsidR="00B03203" w:rsidRDefault="00B03203" w:rsidP="00326C14">
      <w:pPr>
        <w:spacing w:line="360" w:lineRule="auto"/>
        <w:ind w:right="-234"/>
        <w:jc w:val="both"/>
        <w:rPr>
          <w:rFonts w:ascii="Arial" w:eastAsia="Arial" w:hAnsi="Arial" w:cs="Arial"/>
          <w:bCs/>
        </w:rPr>
      </w:pPr>
      <w:r>
        <w:rPr>
          <w:rFonts w:ascii="Arial" w:eastAsia="Arial" w:hAnsi="Arial" w:cs="Arial"/>
          <w:bCs/>
        </w:rPr>
        <w:t>Sin embargo, estos esfuerzos deben ser complementados con otorgar la legitima posibilidad a los ciudadanos de manifestar su voluntad de no querer participar en el sistema electoral.</w:t>
      </w:r>
    </w:p>
    <w:p w:rsidR="00B03203" w:rsidRDefault="00B03203" w:rsidP="00326C14">
      <w:pPr>
        <w:spacing w:line="360" w:lineRule="auto"/>
        <w:ind w:right="-234"/>
        <w:jc w:val="both"/>
        <w:rPr>
          <w:rFonts w:ascii="Arial" w:eastAsia="Arial" w:hAnsi="Arial" w:cs="Arial"/>
          <w:bCs/>
        </w:rPr>
      </w:pPr>
    </w:p>
    <w:p w:rsidR="00B03203" w:rsidRDefault="00B03203" w:rsidP="00326C14">
      <w:pPr>
        <w:spacing w:line="360" w:lineRule="auto"/>
        <w:ind w:right="-234"/>
        <w:jc w:val="both"/>
        <w:rPr>
          <w:rFonts w:ascii="Arial" w:eastAsia="Arial" w:hAnsi="Arial" w:cs="Arial"/>
          <w:bCs/>
        </w:rPr>
      </w:pPr>
      <w:r>
        <w:rPr>
          <w:rFonts w:ascii="Arial" w:eastAsia="Arial" w:hAnsi="Arial" w:cs="Arial"/>
          <w:bCs/>
        </w:rPr>
        <w:t xml:space="preserve">De esta manera, el derecho a voto, si lo comprendemos como un derecho, </w:t>
      </w:r>
      <w:r w:rsidR="00AA7C1F">
        <w:rPr>
          <w:rFonts w:ascii="Arial" w:eastAsia="Arial" w:hAnsi="Arial" w:cs="Arial"/>
          <w:bCs/>
        </w:rPr>
        <w:t xml:space="preserve">el elemento voluntariedad se debe reflejar en alguno de las etapas que componen la </w:t>
      </w:r>
      <w:r w:rsidR="00AA7C1F">
        <w:rPr>
          <w:rFonts w:ascii="Arial" w:eastAsia="Arial" w:hAnsi="Arial" w:cs="Arial"/>
          <w:bCs/>
        </w:rPr>
        <w:lastRenderedPageBreak/>
        <w:t xml:space="preserve">actividad electoral, </w:t>
      </w:r>
      <w:r>
        <w:rPr>
          <w:rFonts w:ascii="Arial" w:eastAsia="Arial" w:hAnsi="Arial" w:cs="Arial"/>
          <w:bCs/>
        </w:rPr>
        <w:t xml:space="preserve">es decir, el Estado igualmente debe dar la opción para ejercer esta libertad, </w:t>
      </w:r>
      <w:r w:rsidR="00AA7C1F">
        <w:rPr>
          <w:rFonts w:ascii="Arial" w:eastAsia="Arial" w:hAnsi="Arial" w:cs="Arial"/>
          <w:bCs/>
        </w:rPr>
        <w:t xml:space="preserve">y </w:t>
      </w:r>
      <w:r>
        <w:rPr>
          <w:rFonts w:ascii="Arial" w:eastAsia="Arial" w:hAnsi="Arial" w:cs="Arial"/>
          <w:bCs/>
        </w:rPr>
        <w:t xml:space="preserve">que para el caso de aquellos que </w:t>
      </w:r>
      <w:r w:rsidR="003A0A9B">
        <w:rPr>
          <w:rFonts w:ascii="Arial" w:eastAsia="Arial" w:hAnsi="Arial" w:cs="Arial"/>
          <w:bCs/>
        </w:rPr>
        <w:t xml:space="preserve">elijan ejercerla, sea obligatorio. </w:t>
      </w:r>
    </w:p>
    <w:p w:rsidR="003A0A9B" w:rsidRDefault="003A0A9B" w:rsidP="00326C14">
      <w:pPr>
        <w:spacing w:line="360" w:lineRule="auto"/>
        <w:ind w:right="-234"/>
        <w:jc w:val="both"/>
        <w:rPr>
          <w:rFonts w:ascii="Arial" w:eastAsia="Arial" w:hAnsi="Arial" w:cs="Arial"/>
          <w:bCs/>
        </w:rPr>
      </w:pPr>
    </w:p>
    <w:p w:rsidR="00A0283B" w:rsidRDefault="00926D75" w:rsidP="00326C14">
      <w:pPr>
        <w:pBdr>
          <w:top w:val="nil"/>
          <w:left w:val="nil"/>
          <w:bottom w:val="nil"/>
          <w:right w:val="nil"/>
          <w:between w:val="nil"/>
        </w:pBdr>
        <w:spacing w:line="360" w:lineRule="auto"/>
        <w:ind w:right="-234"/>
        <w:jc w:val="both"/>
        <w:rPr>
          <w:rFonts w:ascii="Arial" w:eastAsia="Arial" w:hAnsi="Arial" w:cs="Arial"/>
        </w:rPr>
      </w:pPr>
      <w:r>
        <w:rPr>
          <w:rFonts w:ascii="Arial" w:eastAsia="Arial" w:hAnsi="Arial" w:cs="Arial"/>
        </w:rPr>
        <w:t>Que por todo lo anterior es que se presenta el siguiente</w:t>
      </w:r>
      <w:r w:rsidR="00813512">
        <w:rPr>
          <w:rFonts w:ascii="Arial" w:eastAsia="Arial" w:hAnsi="Arial" w:cs="Arial"/>
        </w:rPr>
        <w:t xml:space="preserve"> proyecto de ley</w:t>
      </w:r>
    </w:p>
    <w:p w:rsidR="00B03203" w:rsidRDefault="00B03203" w:rsidP="00326C14">
      <w:pPr>
        <w:pBdr>
          <w:top w:val="nil"/>
          <w:left w:val="nil"/>
          <w:bottom w:val="nil"/>
          <w:right w:val="nil"/>
          <w:between w:val="nil"/>
        </w:pBdr>
        <w:spacing w:line="360" w:lineRule="auto"/>
        <w:ind w:right="-234"/>
        <w:jc w:val="both"/>
        <w:rPr>
          <w:rFonts w:ascii="Arial" w:eastAsia="Arial" w:hAnsi="Arial" w:cs="Arial"/>
        </w:rPr>
      </w:pPr>
    </w:p>
    <w:p w:rsidR="00A0283B" w:rsidRPr="00813512" w:rsidRDefault="00A0283B" w:rsidP="00326C14">
      <w:pPr>
        <w:pBdr>
          <w:top w:val="nil"/>
          <w:left w:val="nil"/>
          <w:bottom w:val="nil"/>
          <w:right w:val="nil"/>
          <w:between w:val="nil"/>
        </w:pBdr>
        <w:spacing w:line="360" w:lineRule="auto"/>
        <w:ind w:right="-234"/>
        <w:jc w:val="both"/>
        <w:rPr>
          <w:rFonts w:ascii="Arial" w:eastAsia="Arial" w:hAnsi="Arial" w:cs="Arial"/>
        </w:rPr>
      </w:pPr>
    </w:p>
    <w:p w:rsidR="00813512" w:rsidRPr="00813512" w:rsidRDefault="00926D75" w:rsidP="00326C14">
      <w:pPr>
        <w:spacing w:line="360" w:lineRule="auto"/>
        <w:ind w:right="-234"/>
        <w:jc w:val="center"/>
        <w:rPr>
          <w:rFonts w:ascii="Arial" w:eastAsia="Arial" w:hAnsi="Arial" w:cs="Arial"/>
          <w:bCs/>
        </w:rPr>
      </w:pPr>
      <w:r w:rsidRPr="00813512">
        <w:rPr>
          <w:rFonts w:ascii="Arial" w:eastAsia="Arial" w:hAnsi="Arial" w:cs="Arial"/>
          <w:b/>
        </w:rPr>
        <w:t xml:space="preserve">PROYECTO DE </w:t>
      </w:r>
      <w:r w:rsidR="00813512" w:rsidRPr="00813512">
        <w:rPr>
          <w:rFonts w:ascii="Arial" w:eastAsia="Arial" w:hAnsi="Arial" w:cs="Arial"/>
          <w:b/>
        </w:rPr>
        <w:t>LEY</w:t>
      </w:r>
    </w:p>
    <w:p w:rsidR="00813512" w:rsidRPr="00813512" w:rsidRDefault="00813512" w:rsidP="00326C14">
      <w:pPr>
        <w:spacing w:line="360" w:lineRule="auto"/>
        <w:ind w:right="-234"/>
        <w:jc w:val="center"/>
        <w:rPr>
          <w:rFonts w:ascii="Arial" w:eastAsia="Arial" w:hAnsi="Arial" w:cs="Arial"/>
          <w:bCs/>
        </w:rPr>
      </w:pPr>
    </w:p>
    <w:p w:rsidR="00813512" w:rsidRPr="00813512" w:rsidRDefault="00813512" w:rsidP="00326C14">
      <w:pPr>
        <w:spacing w:line="360" w:lineRule="auto"/>
        <w:ind w:right="-234"/>
        <w:jc w:val="center"/>
        <w:rPr>
          <w:rFonts w:ascii="Arial" w:eastAsia="Arial" w:hAnsi="Arial" w:cs="Arial"/>
          <w:bCs/>
        </w:rPr>
      </w:pPr>
    </w:p>
    <w:p w:rsidR="00813512" w:rsidRPr="00813512" w:rsidRDefault="00813512" w:rsidP="00326C14">
      <w:pPr>
        <w:spacing w:line="360" w:lineRule="auto"/>
        <w:ind w:right="-234"/>
        <w:jc w:val="center"/>
        <w:rPr>
          <w:rFonts w:ascii="Arial" w:eastAsia="Arial" w:hAnsi="Arial" w:cs="Arial"/>
          <w:bCs/>
        </w:rPr>
      </w:pPr>
    </w:p>
    <w:p w:rsidR="00813512" w:rsidRDefault="00813512" w:rsidP="00326C14">
      <w:pPr>
        <w:pStyle w:val="Sinespaciado"/>
        <w:spacing w:line="360" w:lineRule="auto"/>
        <w:ind w:right="-234"/>
        <w:jc w:val="both"/>
        <w:rPr>
          <w:rFonts w:ascii="Arial" w:hAnsi="Arial" w:cs="Arial"/>
          <w:sz w:val="24"/>
          <w:szCs w:val="24"/>
        </w:rPr>
      </w:pPr>
      <w:r w:rsidRPr="00813512">
        <w:rPr>
          <w:rFonts w:ascii="Arial" w:hAnsi="Arial" w:cs="Arial"/>
          <w:b/>
          <w:bCs/>
          <w:sz w:val="24"/>
          <w:szCs w:val="24"/>
        </w:rPr>
        <w:t>Artículo Único.-</w:t>
      </w:r>
      <w:r w:rsidRPr="00813512">
        <w:rPr>
          <w:rFonts w:ascii="Arial" w:hAnsi="Arial" w:cs="Arial"/>
          <w:sz w:val="24"/>
          <w:szCs w:val="24"/>
        </w:rPr>
        <w:tab/>
        <w:t xml:space="preserve">Para modificar el </w:t>
      </w:r>
      <w:r w:rsidR="00DF5AFC">
        <w:rPr>
          <w:rFonts w:ascii="Arial" w:hAnsi="Arial" w:cs="Arial"/>
          <w:sz w:val="24"/>
          <w:szCs w:val="24"/>
        </w:rPr>
        <w:t xml:space="preserve">párrafo 2º del Título I de </w:t>
      </w:r>
      <w:r w:rsidR="00E638C0">
        <w:rPr>
          <w:rFonts w:ascii="Arial" w:hAnsi="Arial" w:cs="Arial"/>
          <w:sz w:val="24"/>
          <w:szCs w:val="24"/>
        </w:rPr>
        <w:t xml:space="preserve">la Ley Orgánica Constitucional sobre </w:t>
      </w:r>
      <w:r w:rsidR="00AA7C1F">
        <w:rPr>
          <w:rFonts w:ascii="Arial" w:hAnsi="Arial" w:cs="Arial"/>
          <w:sz w:val="24"/>
          <w:szCs w:val="24"/>
        </w:rPr>
        <w:t>S</w:t>
      </w:r>
      <w:r w:rsidR="00E638C0">
        <w:rPr>
          <w:rFonts w:ascii="Arial" w:hAnsi="Arial" w:cs="Arial"/>
          <w:sz w:val="24"/>
          <w:szCs w:val="24"/>
        </w:rPr>
        <w:t xml:space="preserve">istema de </w:t>
      </w:r>
      <w:r w:rsidR="00AA7C1F">
        <w:rPr>
          <w:rFonts w:ascii="Arial" w:hAnsi="Arial" w:cs="Arial"/>
          <w:sz w:val="24"/>
          <w:szCs w:val="24"/>
        </w:rPr>
        <w:t>I</w:t>
      </w:r>
      <w:r w:rsidR="00E638C0">
        <w:rPr>
          <w:rFonts w:ascii="Arial" w:hAnsi="Arial" w:cs="Arial"/>
          <w:sz w:val="24"/>
          <w:szCs w:val="24"/>
        </w:rPr>
        <w:t xml:space="preserve">nscripciones </w:t>
      </w:r>
      <w:r w:rsidR="00AA7C1F">
        <w:rPr>
          <w:rFonts w:ascii="Arial" w:hAnsi="Arial" w:cs="Arial"/>
          <w:sz w:val="24"/>
          <w:szCs w:val="24"/>
        </w:rPr>
        <w:t>E</w:t>
      </w:r>
      <w:r w:rsidR="00E638C0">
        <w:rPr>
          <w:rFonts w:ascii="Arial" w:hAnsi="Arial" w:cs="Arial"/>
          <w:sz w:val="24"/>
          <w:szCs w:val="24"/>
        </w:rPr>
        <w:t xml:space="preserve">lectorales y </w:t>
      </w:r>
      <w:r w:rsidR="00AA7C1F">
        <w:rPr>
          <w:rFonts w:ascii="Arial" w:hAnsi="Arial" w:cs="Arial"/>
          <w:sz w:val="24"/>
          <w:szCs w:val="24"/>
        </w:rPr>
        <w:t>S</w:t>
      </w:r>
      <w:r w:rsidR="00E638C0">
        <w:rPr>
          <w:rFonts w:ascii="Arial" w:hAnsi="Arial" w:cs="Arial"/>
          <w:sz w:val="24"/>
          <w:szCs w:val="24"/>
        </w:rPr>
        <w:t xml:space="preserve">ervicio </w:t>
      </w:r>
      <w:r w:rsidR="00AA7C1F">
        <w:rPr>
          <w:rFonts w:ascii="Arial" w:hAnsi="Arial" w:cs="Arial"/>
          <w:sz w:val="24"/>
          <w:szCs w:val="24"/>
        </w:rPr>
        <w:t>E</w:t>
      </w:r>
      <w:r w:rsidR="00E638C0">
        <w:rPr>
          <w:rFonts w:ascii="Arial" w:hAnsi="Arial" w:cs="Arial"/>
          <w:sz w:val="24"/>
          <w:szCs w:val="24"/>
        </w:rPr>
        <w:t>le</w:t>
      </w:r>
      <w:r w:rsidR="00AA7C1F">
        <w:rPr>
          <w:rFonts w:ascii="Arial" w:hAnsi="Arial" w:cs="Arial"/>
          <w:sz w:val="24"/>
          <w:szCs w:val="24"/>
        </w:rPr>
        <w:t>c</w:t>
      </w:r>
      <w:r w:rsidR="00E638C0">
        <w:rPr>
          <w:rFonts w:ascii="Arial" w:hAnsi="Arial" w:cs="Arial"/>
          <w:sz w:val="24"/>
          <w:szCs w:val="24"/>
        </w:rPr>
        <w:t xml:space="preserve">toral </w:t>
      </w:r>
      <w:r w:rsidRPr="00813512">
        <w:rPr>
          <w:rFonts w:ascii="Arial" w:hAnsi="Arial" w:cs="Arial"/>
          <w:sz w:val="24"/>
          <w:szCs w:val="24"/>
        </w:rPr>
        <w:t>en el siguiente sentido:</w:t>
      </w:r>
    </w:p>
    <w:p w:rsidR="00DF5AFC" w:rsidRDefault="00DF5AFC" w:rsidP="00326C14">
      <w:pPr>
        <w:pStyle w:val="Sinespaciado"/>
        <w:spacing w:line="360" w:lineRule="auto"/>
        <w:ind w:right="-234"/>
        <w:jc w:val="both"/>
        <w:rPr>
          <w:rFonts w:ascii="Arial" w:hAnsi="Arial" w:cs="Arial"/>
          <w:sz w:val="24"/>
          <w:szCs w:val="24"/>
        </w:rPr>
      </w:pPr>
    </w:p>
    <w:p w:rsidR="00DF5AFC" w:rsidRDefault="00DF5AFC" w:rsidP="00326C14">
      <w:pPr>
        <w:pStyle w:val="Sinespaciado"/>
        <w:numPr>
          <w:ilvl w:val="0"/>
          <w:numId w:val="4"/>
        </w:numPr>
        <w:spacing w:line="360" w:lineRule="auto"/>
        <w:ind w:right="-234"/>
        <w:jc w:val="both"/>
        <w:rPr>
          <w:rFonts w:ascii="Arial" w:hAnsi="Arial" w:cs="Arial"/>
          <w:sz w:val="24"/>
          <w:szCs w:val="24"/>
        </w:rPr>
      </w:pPr>
      <w:r>
        <w:rPr>
          <w:rFonts w:ascii="Arial" w:hAnsi="Arial" w:cs="Arial"/>
          <w:sz w:val="24"/>
          <w:szCs w:val="24"/>
        </w:rPr>
        <w:t xml:space="preserve">Agréguese en la nomenclatura del párrafo 2º del Título I, la siguiente frase “y </w:t>
      </w:r>
      <w:r w:rsidRPr="00DF5AFC">
        <w:rPr>
          <w:rFonts w:ascii="Arial" w:hAnsi="Arial" w:cs="Arial"/>
          <w:i/>
          <w:iCs/>
          <w:sz w:val="24"/>
          <w:szCs w:val="24"/>
        </w:rPr>
        <w:t>la desinscripción”</w:t>
      </w:r>
    </w:p>
    <w:p w:rsidR="00DF5AFC" w:rsidRDefault="00DF5AFC" w:rsidP="00326C14">
      <w:pPr>
        <w:pStyle w:val="Sinespaciado"/>
        <w:numPr>
          <w:ilvl w:val="0"/>
          <w:numId w:val="4"/>
        </w:numPr>
        <w:spacing w:line="360" w:lineRule="auto"/>
        <w:ind w:right="-234"/>
        <w:jc w:val="both"/>
        <w:rPr>
          <w:rFonts w:ascii="Arial" w:hAnsi="Arial" w:cs="Arial"/>
          <w:sz w:val="24"/>
          <w:szCs w:val="24"/>
        </w:rPr>
      </w:pPr>
      <w:r>
        <w:rPr>
          <w:rFonts w:ascii="Arial" w:hAnsi="Arial" w:cs="Arial"/>
          <w:sz w:val="24"/>
          <w:szCs w:val="24"/>
        </w:rPr>
        <w:t>Agréguese un nuevo inciso final en el artículo 7º en el siguiente tenor:</w:t>
      </w:r>
    </w:p>
    <w:p w:rsidR="00DF5AFC" w:rsidRPr="00DF5AFC" w:rsidRDefault="00DF5AFC" w:rsidP="00326C14">
      <w:pPr>
        <w:pStyle w:val="Sinespaciado"/>
        <w:spacing w:line="360" w:lineRule="auto"/>
        <w:ind w:left="720" w:right="-234"/>
        <w:jc w:val="both"/>
        <w:rPr>
          <w:rFonts w:ascii="Arial" w:hAnsi="Arial" w:cs="Arial"/>
          <w:i/>
          <w:iCs/>
          <w:sz w:val="24"/>
          <w:szCs w:val="24"/>
        </w:rPr>
      </w:pPr>
    </w:p>
    <w:p w:rsidR="00DF5AFC" w:rsidRPr="00DF5AFC" w:rsidRDefault="00DF5AFC" w:rsidP="00326C14">
      <w:pPr>
        <w:pStyle w:val="Sinespaciado"/>
        <w:spacing w:line="360" w:lineRule="auto"/>
        <w:ind w:left="720" w:right="-234"/>
        <w:jc w:val="both"/>
        <w:rPr>
          <w:rFonts w:ascii="Arial" w:hAnsi="Arial" w:cs="Arial"/>
          <w:i/>
          <w:iCs/>
          <w:sz w:val="24"/>
          <w:szCs w:val="24"/>
        </w:rPr>
      </w:pPr>
      <w:r w:rsidRPr="00DF5AFC">
        <w:rPr>
          <w:rFonts w:ascii="Arial" w:hAnsi="Arial" w:cs="Arial"/>
          <w:i/>
          <w:iCs/>
          <w:sz w:val="24"/>
          <w:szCs w:val="24"/>
        </w:rPr>
        <w:t xml:space="preserve">“Asimismo, se contemplará la opción de la desinscripción voluntaria del Registro Electoral. Para ello, podrá efectuarse personalmente ante el </w:t>
      </w:r>
      <w:r w:rsidR="00326C14">
        <w:rPr>
          <w:rFonts w:ascii="Arial" w:hAnsi="Arial" w:cs="Arial"/>
          <w:i/>
          <w:iCs/>
          <w:sz w:val="24"/>
          <w:szCs w:val="24"/>
        </w:rPr>
        <w:t xml:space="preserve">  </w:t>
      </w:r>
      <w:r w:rsidRPr="00DF5AFC">
        <w:rPr>
          <w:rFonts w:ascii="Arial" w:hAnsi="Arial" w:cs="Arial"/>
          <w:i/>
          <w:iCs/>
          <w:sz w:val="24"/>
          <w:szCs w:val="24"/>
        </w:rPr>
        <w:t>Servicio Electoral, en las oficinas que este organismo disponga en el país, mediante una solicitud escrita firmada por el peticionario en formularios especialmente diseñados p</w:t>
      </w:r>
      <w:bookmarkStart w:id="0" w:name="_GoBack"/>
      <w:bookmarkEnd w:id="0"/>
      <w:r w:rsidRPr="00DF5AFC">
        <w:rPr>
          <w:rFonts w:ascii="Arial" w:hAnsi="Arial" w:cs="Arial"/>
          <w:i/>
          <w:iCs/>
          <w:sz w:val="24"/>
          <w:szCs w:val="24"/>
        </w:rPr>
        <w:t>or el Servicio Electoral, donde declarará bajo juramento su voluntad de desinscribirse del padrón electoral, como también podrá efectuarse en su sitio web, mediante ClaveÚnica del Servicio de Registro Civil e Identificación. Los ciudadanos residentes en el extranjero podrán presentar la solicitud a través del respectivo consulado"</w:t>
      </w:r>
    </w:p>
    <w:p w:rsidR="00813512" w:rsidRDefault="00813512" w:rsidP="00326C14">
      <w:pPr>
        <w:pStyle w:val="Sinespaciado"/>
        <w:spacing w:line="360" w:lineRule="auto"/>
        <w:ind w:right="-234"/>
        <w:jc w:val="both"/>
        <w:rPr>
          <w:rFonts w:ascii="Arial" w:hAnsi="Arial" w:cs="Arial"/>
          <w:i/>
          <w:iCs/>
          <w:sz w:val="24"/>
          <w:szCs w:val="24"/>
        </w:rPr>
      </w:pPr>
    </w:p>
    <w:p w:rsidR="00813512" w:rsidRDefault="00813512" w:rsidP="00326C14">
      <w:pPr>
        <w:pStyle w:val="Sinespaciado"/>
        <w:spacing w:line="360" w:lineRule="auto"/>
        <w:ind w:right="-234"/>
        <w:jc w:val="both"/>
        <w:rPr>
          <w:rFonts w:ascii="Arial" w:hAnsi="Arial" w:cs="Arial"/>
          <w:i/>
          <w:iCs/>
          <w:sz w:val="24"/>
          <w:szCs w:val="24"/>
        </w:rPr>
      </w:pPr>
    </w:p>
    <w:p w:rsidR="00326C14" w:rsidRDefault="00326C14" w:rsidP="00326C14">
      <w:pPr>
        <w:pStyle w:val="Sinespaciado"/>
        <w:spacing w:line="360" w:lineRule="auto"/>
        <w:ind w:right="-234"/>
        <w:jc w:val="center"/>
        <w:rPr>
          <w:rFonts w:ascii="Arial" w:hAnsi="Arial" w:cs="Arial"/>
          <w:b/>
          <w:bCs/>
          <w:sz w:val="24"/>
          <w:szCs w:val="24"/>
        </w:rPr>
      </w:pPr>
    </w:p>
    <w:p w:rsidR="00813512" w:rsidRPr="00813512" w:rsidRDefault="00813512" w:rsidP="00326C14">
      <w:pPr>
        <w:pStyle w:val="Sinespaciado"/>
        <w:spacing w:line="360" w:lineRule="auto"/>
        <w:ind w:right="-234"/>
        <w:jc w:val="center"/>
        <w:rPr>
          <w:rFonts w:ascii="Arial" w:hAnsi="Arial" w:cs="Arial"/>
          <w:b/>
          <w:bCs/>
          <w:sz w:val="24"/>
          <w:szCs w:val="24"/>
        </w:rPr>
      </w:pPr>
      <w:r>
        <w:rPr>
          <w:rFonts w:ascii="Arial" w:hAnsi="Arial" w:cs="Arial"/>
          <w:b/>
          <w:bCs/>
          <w:sz w:val="24"/>
          <w:szCs w:val="24"/>
        </w:rPr>
        <w:t>ANDREA PARRA SAUTEREL</w:t>
      </w:r>
    </w:p>
    <w:sectPr w:rsidR="00813512" w:rsidRPr="00813512" w:rsidSect="005D616C">
      <w:pgSz w:w="12240" w:h="15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FB8" w:rsidRDefault="00800FB8">
      <w:r>
        <w:separator/>
      </w:r>
    </w:p>
  </w:endnote>
  <w:endnote w:type="continuationSeparator" w:id="0">
    <w:p w:rsidR="00800FB8" w:rsidRDefault="00800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FB8" w:rsidRDefault="00800FB8">
      <w:r>
        <w:separator/>
      </w:r>
    </w:p>
  </w:footnote>
  <w:footnote w:type="continuationSeparator" w:id="0">
    <w:p w:rsidR="00800FB8" w:rsidRDefault="00800FB8">
      <w:r>
        <w:continuationSeparator/>
      </w:r>
    </w:p>
  </w:footnote>
  <w:footnote w:id="1">
    <w:p w:rsidR="00B03203" w:rsidRDefault="00B03203">
      <w:pPr>
        <w:pStyle w:val="Textonotapie"/>
      </w:pPr>
      <w:r>
        <w:rPr>
          <w:rStyle w:val="Refdenotaalpie"/>
        </w:rPr>
        <w:footnoteRef/>
      </w:r>
      <w:r>
        <w:t xml:space="preserve"> Fuentes Claudio, </w:t>
      </w:r>
      <w:r w:rsidRPr="00B03203">
        <w:rPr>
          <w:i/>
          <w:iCs/>
        </w:rPr>
        <w:t>“Voto voluntario y la ilusión de la representación</w:t>
      </w:r>
      <w:r>
        <w:t xml:space="preserve"> </w:t>
      </w:r>
      <w:proofErr w:type="gramStart"/>
      <w:r>
        <w:t>“ en</w:t>
      </w:r>
      <w:proofErr w:type="gramEnd"/>
      <w:r>
        <w:t xml:space="preserve"> Ciper Chile. Disponible en </w:t>
      </w:r>
      <w:hyperlink r:id="rId1" w:history="1">
        <w:r w:rsidRPr="00471350">
          <w:rPr>
            <w:rStyle w:val="Hipervnculo"/>
          </w:rPr>
          <w:t>https://ciperchile.cl/2019/01/07/voto-voluntario-y-la-ilusion-de-la-representacion-o-como-la-democracia-se-fue-vaciando-de-electores/</w:t>
        </w:r>
      </w:hyperlink>
      <w:r>
        <w:t xml:space="preserve"> </w:t>
      </w:r>
    </w:p>
  </w:footnote>
  <w:footnote w:id="2">
    <w:p w:rsidR="00B03203" w:rsidRPr="00B03203" w:rsidRDefault="00B03203">
      <w:pPr>
        <w:pStyle w:val="Textonotapie"/>
      </w:pPr>
      <w:r>
        <w:rPr>
          <w:rStyle w:val="Refdenotaalpie"/>
        </w:rPr>
        <w:footnoteRef/>
      </w:r>
      <w:r>
        <w:t xml:space="preserve"> Marshall Pablo, </w:t>
      </w:r>
      <w:r>
        <w:rPr>
          <w:i/>
          <w:iCs/>
        </w:rPr>
        <w:t xml:space="preserve">“El Derecho y la obligación de votar”. </w:t>
      </w:r>
      <w:r>
        <w:t>En Revista de Derecho Vol. XXII Nº 1, Julio 2009, pp.88.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80DD5"/>
    <w:multiLevelType w:val="hybridMultilevel"/>
    <w:tmpl w:val="8FA643B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77F401E"/>
    <w:multiLevelType w:val="multilevel"/>
    <w:tmpl w:val="E68E56B6"/>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5D71E6C"/>
    <w:multiLevelType w:val="multilevel"/>
    <w:tmpl w:val="B5F06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7D2184E"/>
    <w:multiLevelType w:val="multilevel"/>
    <w:tmpl w:val="3ADEE0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hyphenationZone w:val="425"/>
  <w:characterSpacingControl w:val="doNotCompress"/>
  <w:footnotePr>
    <w:footnote w:id="-1"/>
    <w:footnote w:id="0"/>
  </w:footnotePr>
  <w:endnotePr>
    <w:endnote w:id="-1"/>
    <w:endnote w:id="0"/>
  </w:endnotePr>
  <w:compat/>
  <w:rsids>
    <w:rsidRoot w:val="00A0283B"/>
    <w:rsid w:val="00064D56"/>
    <w:rsid w:val="00326C14"/>
    <w:rsid w:val="003A0A9B"/>
    <w:rsid w:val="005D616C"/>
    <w:rsid w:val="00800FB8"/>
    <w:rsid w:val="00813512"/>
    <w:rsid w:val="00926D75"/>
    <w:rsid w:val="00943C97"/>
    <w:rsid w:val="00995561"/>
    <w:rsid w:val="00A0283B"/>
    <w:rsid w:val="00A46754"/>
    <w:rsid w:val="00AA7C1F"/>
    <w:rsid w:val="00B03203"/>
    <w:rsid w:val="00DF5AFC"/>
    <w:rsid w:val="00E638C0"/>
    <w:rsid w:val="00E821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6C"/>
  </w:style>
  <w:style w:type="paragraph" w:styleId="Ttulo1">
    <w:name w:val="heading 1"/>
    <w:basedOn w:val="Normal"/>
    <w:next w:val="Normal"/>
    <w:uiPriority w:val="9"/>
    <w:qFormat/>
    <w:rsid w:val="005D616C"/>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5D616C"/>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5D616C"/>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5D616C"/>
    <w:pPr>
      <w:keepNext/>
      <w:keepLines/>
      <w:spacing w:before="240" w:after="40"/>
      <w:outlineLvl w:val="3"/>
    </w:pPr>
    <w:rPr>
      <w:b/>
    </w:rPr>
  </w:style>
  <w:style w:type="paragraph" w:styleId="Ttulo5">
    <w:name w:val="heading 5"/>
    <w:basedOn w:val="Normal"/>
    <w:next w:val="Normal"/>
    <w:uiPriority w:val="9"/>
    <w:semiHidden/>
    <w:unhideWhenUsed/>
    <w:qFormat/>
    <w:rsid w:val="005D616C"/>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5D616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D616C"/>
    <w:tblPr>
      <w:tblCellMar>
        <w:top w:w="0" w:type="dxa"/>
        <w:left w:w="0" w:type="dxa"/>
        <w:bottom w:w="0" w:type="dxa"/>
        <w:right w:w="0" w:type="dxa"/>
      </w:tblCellMar>
    </w:tblPr>
  </w:style>
  <w:style w:type="paragraph" w:styleId="Ttulo">
    <w:name w:val="Title"/>
    <w:basedOn w:val="Normal"/>
    <w:next w:val="Normal"/>
    <w:uiPriority w:val="10"/>
    <w:qFormat/>
    <w:rsid w:val="005D616C"/>
    <w:pPr>
      <w:keepNext/>
      <w:keepLines/>
      <w:spacing w:before="480" w:after="120"/>
    </w:pPr>
    <w:rPr>
      <w:b/>
      <w:sz w:val="72"/>
      <w:szCs w:val="72"/>
    </w:rPr>
  </w:style>
  <w:style w:type="paragraph" w:styleId="Prrafodelista">
    <w:name w:val="List Paragraph"/>
    <w:basedOn w:val="Normal"/>
    <w:uiPriority w:val="34"/>
    <w:qFormat/>
    <w:rsid w:val="0014107E"/>
    <w:pPr>
      <w:ind w:left="720"/>
      <w:contextualSpacing/>
    </w:pPr>
  </w:style>
  <w:style w:type="paragraph" w:styleId="Subttulo">
    <w:name w:val="Subtitle"/>
    <w:basedOn w:val="Normal"/>
    <w:next w:val="Normal"/>
    <w:uiPriority w:val="11"/>
    <w:qFormat/>
    <w:rsid w:val="005D616C"/>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813512"/>
    <w:rPr>
      <w:rFonts w:cs="Times New Roman"/>
      <w:sz w:val="22"/>
      <w:szCs w:val="22"/>
      <w:lang w:val="es-CL" w:eastAsia="en-US"/>
    </w:rPr>
  </w:style>
  <w:style w:type="character" w:customStyle="1" w:styleId="apple-converted-space">
    <w:name w:val="apple-converted-space"/>
    <w:basedOn w:val="Fuentedeprrafopredeter"/>
    <w:rsid w:val="00B03203"/>
  </w:style>
  <w:style w:type="character" w:styleId="Textoennegrita">
    <w:name w:val="Strong"/>
    <w:basedOn w:val="Fuentedeprrafopredeter"/>
    <w:uiPriority w:val="22"/>
    <w:qFormat/>
    <w:rsid w:val="00B03203"/>
    <w:rPr>
      <w:b/>
      <w:bCs/>
    </w:rPr>
  </w:style>
  <w:style w:type="paragraph" w:styleId="Textonotapie">
    <w:name w:val="footnote text"/>
    <w:basedOn w:val="Normal"/>
    <w:link w:val="TextonotapieCar"/>
    <w:uiPriority w:val="99"/>
    <w:semiHidden/>
    <w:unhideWhenUsed/>
    <w:rsid w:val="00B03203"/>
    <w:rPr>
      <w:sz w:val="20"/>
      <w:szCs w:val="20"/>
    </w:rPr>
  </w:style>
  <w:style w:type="character" w:customStyle="1" w:styleId="TextonotapieCar">
    <w:name w:val="Texto nota pie Car"/>
    <w:basedOn w:val="Fuentedeprrafopredeter"/>
    <w:link w:val="Textonotapie"/>
    <w:uiPriority w:val="99"/>
    <w:semiHidden/>
    <w:rsid w:val="00B03203"/>
    <w:rPr>
      <w:sz w:val="20"/>
      <w:szCs w:val="20"/>
    </w:rPr>
  </w:style>
  <w:style w:type="character" w:styleId="Refdenotaalpie">
    <w:name w:val="footnote reference"/>
    <w:basedOn w:val="Fuentedeprrafopredeter"/>
    <w:uiPriority w:val="99"/>
    <w:semiHidden/>
    <w:unhideWhenUsed/>
    <w:rsid w:val="00B03203"/>
    <w:rPr>
      <w:vertAlign w:val="superscript"/>
    </w:rPr>
  </w:style>
  <w:style w:type="character" w:styleId="Hipervnculo">
    <w:name w:val="Hyperlink"/>
    <w:basedOn w:val="Fuentedeprrafopredeter"/>
    <w:uiPriority w:val="99"/>
    <w:unhideWhenUsed/>
    <w:rsid w:val="00B03203"/>
    <w:rPr>
      <w:color w:val="0563C1" w:themeColor="hyperlink"/>
      <w:u w:val="single"/>
    </w:rPr>
  </w:style>
  <w:style w:type="character" w:customStyle="1" w:styleId="UnresolvedMention">
    <w:name w:val="Unresolved Mention"/>
    <w:basedOn w:val="Fuentedeprrafopredeter"/>
    <w:uiPriority w:val="99"/>
    <w:semiHidden/>
    <w:unhideWhenUsed/>
    <w:rsid w:val="00B03203"/>
    <w:rPr>
      <w:color w:val="605E5C"/>
      <w:shd w:val="clear" w:color="auto" w:fill="E1DFDD"/>
    </w:rPr>
  </w:style>
  <w:style w:type="paragraph" w:styleId="Textodeglobo">
    <w:name w:val="Balloon Text"/>
    <w:basedOn w:val="Normal"/>
    <w:link w:val="TextodegloboCar"/>
    <w:uiPriority w:val="99"/>
    <w:semiHidden/>
    <w:unhideWhenUsed/>
    <w:rsid w:val="00326C14"/>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C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56996">
      <w:bodyDiv w:val="1"/>
      <w:marLeft w:val="0"/>
      <w:marRight w:val="0"/>
      <w:marTop w:val="0"/>
      <w:marBottom w:val="0"/>
      <w:divBdr>
        <w:top w:val="none" w:sz="0" w:space="0" w:color="auto"/>
        <w:left w:val="none" w:sz="0" w:space="0" w:color="auto"/>
        <w:bottom w:val="none" w:sz="0" w:space="0" w:color="auto"/>
        <w:right w:val="none" w:sz="0" w:space="0" w:color="auto"/>
      </w:divBdr>
    </w:div>
    <w:div w:id="376928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ciperchile.cl/2019/01/07/voto-voluntario-y-la-ilusion-de-la-representacion-o-como-la-democracia-se-fue-vaciando-de-electo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WICldeunYFMjwmaYd4jDWvy2jg==">AMUW2mUQwyqOvdps3W5071rq5wJStp5KtEjecmRI8Dc3JliSfymFUD4pfCIehuJZvw5wFk/gIAjHmRCFBtI+SHzRUuA4axD7+GHTr0H+R4LKVUQyaoo4hWY=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BA8DA3-DC17-40FE-A655-9790EB9D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662</Words>
  <Characters>3642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Suazo Chavez</dc:creator>
  <cp:lastModifiedBy>Guillermo Diaz Vallejos</cp:lastModifiedBy>
  <cp:revision>4</cp:revision>
  <dcterms:created xsi:type="dcterms:W3CDTF">2019-12-19T15:24:00Z</dcterms:created>
  <dcterms:modified xsi:type="dcterms:W3CDTF">2019-12-31T14:05:00Z</dcterms:modified>
</cp:coreProperties>
</file>