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4D" w:rsidRDefault="001E0967" w:rsidP="001E0967">
      <w:pPr>
        <w:ind w:right="-279"/>
        <w:jc w:val="both"/>
        <w:rPr>
          <w:rFonts w:ascii="Bookman Old Style" w:hAnsi="Bookman Old Style" w:cs="Times New Roman"/>
          <w:b/>
          <w:sz w:val="24"/>
          <w:szCs w:val="24"/>
        </w:rPr>
      </w:pPr>
      <w:r w:rsidRPr="001E0967">
        <w:rPr>
          <w:rFonts w:ascii="Bookman Old Style" w:hAnsi="Bookman Old Style" w:cs="Times New Roman"/>
          <w:b/>
          <w:sz w:val="24"/>
          <w:szCs w:val="24"/>
        </w:rPr>
        <w:t>Modifica el Estatuto del Personal de las Fuerzas de Armadas, para establecer un procedimiento de denuncia y sanción de hechos contrarios al principio de probidad administrativa, de los que sus integrantes tomen conocimiento en el desempeño de sus funciones</w:t>
      </w:r>
    </w:p>
    <w:p w:rsidR="001E0967" w:rsidRDefault="001E0967" w:rsidP="001E0967">
      <w:pPr>
        <w:ind w:right="-279"/>
        <w:jc w:val="center"/>
        <w:rPr>
          <w:rFonts w:ascii="Bookman Old Style" w:hAnsi="Bookman Old Style" w:cs="Times New Roman"/>
          <w:b/>
          <w:sz w:val="24"/>
          <w:szCs w:val="24"/>
        </w:rPr>
      </w:pPr>
    </w:p>
    <w:p w:rsidR="001E0967" w:rsidRPr="00233669" w:rsidRDefault="001E0967" w:rsidP="001E0967">
      <w:pPr>
        <w:ind w:right="-279"/>
        <w:jc w:val="center"/>
        <w:rPr>
          <w:rFonts w:ascii="Bookman Old Style" w:hAnsi="Bookman Old Style" w:cs="Times New Roman"/>
          <w:b/>
          <w:sz w:val="24"/>
          <w:szCs w:val="24"/>
        </w:rPr>
      </w:pPr>
      <w:r>
        <w:rPr>
          <w:rFonts w:ascii="Bookman Old Style" w:hAnsi="Bookman Old Style" w:cs="Times New Roman"/>
          <w:b/>
          <w:sz w:val="24"/>
          <w:szCs w:val="24"/>
        </w:rPr>
        <w:t>Boletín N° 12948-02</w:t>
      </w:r>
    </w:p>
    <w:p w:rsidR="0060684D" w:rsidRPr="00233669" w:rsidRDefault="0060684D" w:rsidP="001E0967">
      <w:pPr>
        <w:ind w:right="-279"/>
        <w:jc w:val="right"/>
        <w:rPr>
          <w:rFonts w:ascii="Bookman Old Style" w:hAnsi="Bookman Old Style" w:cs="Times New Roman"/>
          <w:b/>
          <w:sz w:val="24"/>
          <w:szCs w:val="24"/>
        </w:rPr>
      </w:pPr>
    </w:p>
    <w:p w:rsidR="0060684D" w:rsidRPr="00233669" w:rsidRDefault="0060684D" w:rsidP="001E0967">
      <w:pPr>
        <w:ind w:right="-279"/>
        <w:jc w:val="both"/>
        <w:rPr>
          <w:rFonts w:ascii="Bookman Old Style" w:hAnsi="Bookman Old Style" w:cs="Times New Roman"/>
          <w:b/>
          <w:sz w:val="24"/>
          <w:szCs w:val="24"/>
        </w:rPr>
      </w:pPr>
    </w:p>
    <w:p w:rsidR="0060684D" w:rsidRPr="00233669" w:rsidRDefault="0060684D" w:rsidP="001E0967">
      <w:pPr>
        <w:numPr>
          <w:ilvl w:val="0"/>
          <w:numId w:val="1"/>
        </w:numPr>
        <w:ind w:right="-279"/>
        <w:jc w:val="both"/>
        <w:rPr>
          <w:rFonts w:ascii="Bookman Old Style" w:hAnsi="Bookman Old Style" w:cs="Times New Roman"/>
          <w:b/>
          <w:sz w:val="24"/>
          <w:szCs w:val="24"/>
        </w:rPr>
      </w:pPr>
      <w:r w:rsidRPr="00233669">
        <w:rPr>
          <w:rFonts w:ascii="Bookman Old Style" w:hAnsi="Bookman Old Style" w:cs="Times New Roman"/>
          <w:b/>
          <w:sz w:val="24"/>
          <w:szCs w:val="24"/>
        </w:rPr>
        <w:t xml:space="preserve">ANTECEDENTES Y FUNDAMENTOS. </w:t>
      </w:r>
    </w:p>
    <w:p w:rsidR="0060684D" w:rsidRPr="00233669" w:rsidRDefault="0060684D" w:rsidP="001E0967">
      <w:pPr>
        <w:ind w:left="720" w:right="-279"/>
        <w:jc w:val="both"/>
        <w:rPr>
          <w:rFonts w:ascii="Bookman Old Style" w:hAnsi="Bookman Old Style" w:cs="Times New Roman"/>
          <w:b/>
          <w:sz w:val="24"/>
          <w:szCs w:val="24"/>
        </w:rPr>
      </w:pPr>
    </w:p>
    <w:p w:rsidR="0060684D" w:rsidRPr="00233669" w:rsidRDefault="0060684D" w:rsidP="001E0967">
      <w:pPr>
        <w:numPr>
          <w:ilvl w:val="0"/>
          <w:numId w:val="2"/>
        </w:numPr>
        <w:ind w:right="-279"/>
        <w:jc w:val="both"/>
        <w:rPr>
          <w:rFonts w:ascii="Bookman Old Style" w:hAnsi="Bookman Old Style" w:cs="Times New Roman"/>
          <w:b/>
          <w:smallCaps/>
          <w:sz w:val="24"/>
          <w:szCs w:val="24"/>
        </w:rPr>
      </w:pPr>
      <w:r w:rsidRPr="00233669">
        <w:rPr>
          <w:rFonts w:ascii="Bookman Old Style" w:hAnsi="Bookman Old Style" w:cs="Times New Roman"/>
          <w:b/>
          <w:smallCaps/>
          <w:sz w:val="24"/>
          <w:szCs w:val="24"/>
        </w:rPr>
        <w:t>Legislación vigente.</w:t>
      </w:r>
    </w:p>
    <w:p w:rsidR="0060684D" w:rsidRPr="00233669" w:rsidRDefault="0060684D" w:rsidP="001E0967">
      <w:pPr>
        <w:ind w:left="360" w:right="-279"/>
        <w:jc w:val="both"/>
        <w:rPr>
          <w:rFonts w:ascii="Bookman Old Style" w:hAnsi="Bookman Old Style" w:cs="Times New Roman"/>
          <w:sz w:val="24"/>
          <w:szCs w:val="24"/>
        </w:rPr>
      </w:pPr>
    </w:p>
    <w:p w:rsidR="0060684D" w:rsidRPr="00233669" w:rsidRDefault="0060684D" w:rsidP="001E0967">
      <w:pPr>
        <w:ind w:left="360" w:right="-279"/>
        <w:jc w:val="both"/>
        <w:rPr>
          <w:rFonts w:ascii="Bookman Old Style" w:hAnsi="Bookman Old Style" w:cs="Times New Roman"/>
          <w:sz w:val="24"/>
          <w:szCs w:val="24"/>
        </w:rPr>
      </w:pPr>
      <w:r w:rsidRPr="00233669">
        <w:rPr>
          <w:rFonts w:ascii="Bookman Old Style" w:hAnsi="Bookman Old Style" w:cs="Times New Roman"/>
          <w:sz w:val="24"/>
          <w:szCs w:val="24"/>
        </w:rPr>
        <w:t>El 24 de julio de 2007 se dictó la Ley N° 20.205 que modificó, entre otras normas, el DFL N° 29 de 2004, que fija el texto refundido, coordinado y sistematizado de la Ley N° 18.834, sobre Estatuto Administrativo, incorporando artículos que conforman lo que se ha conocido como “Estatuto de Protección de los Denunciantes” ante irregularidades y faltas al principio</w:t>
      </w:r>
      <w:r w:rsidR="001E0967">
        <w:rPr>
          <w:rFonts w:ascii="Bookman Old Style" w:hAnsi="Bookman Old Style" w:cs="Times New Roman"/>
          <w:sz w:val="24"/>
          <w:szCs w:val="24"/>
        </w:rPr>
        <w:t xml:space="preserve"> </w:t>
      </w:r>
      <w:r w:rsidRPr="00233669">
        <w:rPr>
          <w:rFonts w:ascii="Bookman Old Style" w:hAnsi="Bookman Old Style" w:cs="Times New Roman"/>
          <w:sz w:val="24"/>
          <w:szCs w:val="24"/>
        </w:rPr>
        <w:t xml:space="preserve"> de probidad (Art. 61 letra k), Art. 90</w:t>
      </w:r>
      <w:r>
        <w:rPr>
          <w:rFonts w:ascii="Bookman Old Style" w:hAnsi="Bookman Old Style" w:cs="Times New Roman"/>
          <w:sz w:val="24"/>
          <w:szCs w:val="24"/>
        </w:rPr>
        <w:t>-</w:t>
      </w:r>
      <w:r w:rsidRPr="00233669">
        <w:rPr>
          <w:rFonts w:ascii="Bookman Old Style" w:hAnsi="Bookman Old Style" w:cs="Times New Roman"/>
          <w:sz w:val="24"/>
          <w:szCs w:val="24"/>
        </w:rPr>
        <w:t>A. y 90</w:t>
      </w:r>
      <w:r>
        <w:rPr>
          <w:rFonts w:ascii="Bookman Old Style" w:hAnsi="Bookman Old Style" w:cs="Times New Roman"/>
          <w:sz w:val="24"/>
          <w:szCs w:val="24"/>
        </w:rPr>
        <w:t>-</w:t>
      </w:r>
      <w:r w:rsidRPr="00233669">
        <w:rPr>
          <w:rFonts w:ascii="Bookman Old Style" w:hAnsi="Bookman Old Style" w:cs="Times New Roman"/>
          <w:sz w:val="24"/>
          <w:szCs w:val="24"/>
        </w:rPr>
        <w:t>B.</w:t>
      </w:r>
    </w:p>
    <w:p w:rsidR="0060684D" w:rsidRPr="00233669" w:rsidRDefault="0060684D" w:rsidP="001E0967">
      <w:pPr>
        <w:ind w:left="360" w:right="-279"/>
        <w:jc w:val="both"/>
        <w:rPr>
          <w:rFonts w:ascii="Bookman Old Style" w:hAnsi="Bookman Old Style" w:cs="Times New Roman"/>
          <w:sz w:val="24"/>
          <w:szCs w:val="24"/>
        </w:rPr>
      </w:pPr>
    </w:p>
    <w:p w:rsidR="0060684D" w:rsidRPr="00233669" w:rsidRDefault="0060684D" w:rsidP="001E0967">
      <w:pPr>
        <w:ind w:left="360" w:right="-279"/>
        <w:jc w:val="both"/>
        <w:rPr>
          <w:rFonts w:ascii="Bookman Old Style" w:hAnsi="Bookman Old Style" w:cs="Times New Roman"/>
          <w:sz w:val="24"/>
          <w:szCs w:val="24"/>
        </w:rPr>
      </w:pPr>
      <w:r w:rsidRPr="00233669">
        <w:rPr>
          <w:rFonts w:ascii="Bookman Old Style" w:hAnsi="Bookman Old Style" w:cs="Times New Roman"/>
          <w:sz w:val="24"/>
          <w:szCs w:val="24"/>
        </w:rPr>
        <w:t>Sin embargo, este texto legal no modificó la normativa que rige a las Fuerzas Armadas en materia de personal. Esto es, el DFL N° 1 de 1997, la Ley N° 18.948 Orgánica Constitucional de las Fuerzas Armadas, el Código de</w:t>
      </w:r>
      <w:r w:rsidR="001E0967">
        <w:rPr>
          <w:rFonts w:ascii="Bookman Old Style" w:hAnsi="Bookman Old Style" w:cs="Times New Roman"/>
          <w:sz w:val="24"/>
          <w:szCs w:val="24"/>
        </w:rPr>
        <w:t xml:space="preserve"> </w:t>
      </w:r>
      <w:r w:rsidRPr="00233669">
        <w:rPr>
          <w:rFonts w:ascii="Bookman Old Style" w:hAnsi="Bookman Old Style" w:cs="Times New Roman"/>
          <w:sz w:val="24"/>
          <w:szCs w:val="24"/>
        </w:rPr>
        <w:t xml:space="preserve"> Justicia Militar y el Reglamento de Disciplina. Estos constituyen los estatutos especiales por los cuales se rigen las Fuerzas Armadas en el ejercicio de sus derechos, conforme lo establece el artículo 19 N°3 de la Constitución Política de la Republica.</w:t>
      </w:r>
    </w:p>
    <w:p w:rsidR="0060684D" w:rsidRPr="00233669" w:rsidRDefault="0060684D" w:rsidP="001E0967">
      <w:pPr>
        <w:ind w:left="360" w:right="-279"/>
        <w:jc w:val="both"/>
        <w:rPr>
          <w:rFonts w:ascii="Bookman Old Style" w:hAnsi="Bookman Old Style" w:cs="Times New Roman"/>
          <w:sz w:val="24"/>
          <w:szCs w:val="24"/>
        </w:rPr>
      </w:pPr>
    </w:p>
    <w:p w:rsidR="0060684D" w:rsidRPr="00233669" w:rsidRDefault="0060684D" w:rsidP="001E0967">
      <w:pPr>
        <w:ind w:left="360" w:right="-279"/>
        <w:jc w:val="both"/>
        <w:rPr>
          <w:rFonts w:ascii="Bookman Old Style" w:hAnsi="Bookman Old Style" w:cs="Times New Roman"/>
          <w:sz w:val="24"/>
          <w:szCs w:val="24"/>
        </w:rPr>
      </w:pPr>
      <w:r w:rsidRPr="00233669">
        <w:rPr>
          <w:rFonts w:ascii="Bookman Old Style" w:hAnsi="Bookman Old Style" w:cs="Times New Roman"/>
          <w:sz w:val="24"/>
          <w:szCs w:val="24"/>
        </w:rPr>
        <w:t>Entre esos estatutos figura como ya anticipamos, el Reglamento de Disciplina de las Fuerzas Armadas que consagra el conducto regular para denunciar o realizar peticiones ante quien corresponda.</w:t>
      </w:r>
    </w:p>
    <w:p w:rsidR="0060684D" w:rsidRDefault="0060684D" w:rsidP="001E0967">
      <w:pPr>
        <w:ind w:left="720" w:right="-279"/>
        <w:jc w:val="both"/>
        <w:rPr>
          <w:rFonts w:ascii="Bookman Old Style" w:hAnsi="Bookman Old Style" w:cs="Times New Roman"/>
          <w:sz w:val="24"/>
          <w:szCs w:val="24"/>
        </w:rPr>
      </w:pPr>
    </w:p>
    <w:p w:rsidR="0060684D" w:rsidRDefault="0060684D" w:rsidP="001E0967">
      <w:pPr>
        <w:ind w:left="720" w:right="-279"/>
        <w:jc w:val="both"/>
        <w:rPr>
          <w:rFonts w:ascii="Bookman Old Style" w:hAnsi="Bookman Old Style" w:cs="Times New Roman"/>
          <w:sz w:val="24"/>
          <w:szCs w:val="24"/>
        </w:rPr>
      </w:pPr>
    </w:p>
    <w:p w:rsidR="0060684D" w:rsidRPr="00233669" w:rsidRDefault="0060684D" w:rsidP="001E0967">
      <w:pPr>
        <w:numPr>
          <w:ilvl w:val="0"/>
          <w:numId w:val="2"/>
        </w:numPr>
        <w:ind w:right="-279"/>
        <w:jc w:val="both"/>
        <w:rPr>
          <w:rFonts w:ascii="Bookman Old Style" w:hAnsi="Bookman Old Style" w:cs="Times New Roman"/>
          <w:b/>
          <w:smallCaps/>
          <w:sz w:val="24"/>
          <w:szCs w:val="24"/>
        </w:rPr>
      </w:pPr>
      <w:r w:rsidRPr="00233669">
        <w:rPr>
          <w:rFonts w:ascii="Bookman Old Style" w:hAnsi="Bookman Old Style" w:cs="Times New Roman"/>
          <w:b/>
          <w:smallCaps/>
          <w:sz w:val="24"/>
          <w:szCs w:val="24"/>
        </w:rPr>
        <w:t>Problemas con la legislación vigente.</w:t>
      </w:r>
    </w:p>
    <w:p w:rsidR="0060684D" w:rsidRPr="00233669" w:rsidRDefault="0060684D" w:rsidP="001E0967">
      <w:pPr>
        <w:ind w:left="720" w:right="-279"/>
        <w:jc w:val="both"/>
        <w:rPr>
          <w:rFonts w:ascii="Bookman Old Style" w:hAnsi="Bookman Old Style" w:cs="Times New Roman"/>
          <w:b/>
          <w:smallCaps/>
          <w:sz w:val="24"/>
          <w:szCs w:val="24"/>
        </w:rPr>
      </w:pPr>
    </w:p>
    <w:p w:rsidR="0060684D" w:rsidRPr="00233669" w:rsidRDefault="0060684D" w:rsidP="001E0967">
      <w:pPr>
        <w:ind w:left="360" w:right="-279"/>
        <w:jc w:val="both"/>
        <w:rPr>
          <w:rFonts w:ascii="Bookman Old Style" w:hAnsi="Bookman Old Style" w:cs="Times New Roman"/>
          <w:sz w:val="24"/>
          <w:szCs w:val="24"/>
        </w:rPr>
      </w:pPr>
      <w:r w:rsidRPr="00233669">
        <w:rPr>
          <w:rFonts w:ascii="Bookman Old Style" w:hAnsi="Bookman Old Style" w:cs="Times New Roman"/>
          <w:sz w:val="24"/>
          <w:szCs w:val="24"/>
        </w:rPr>
        <w:t>Actualmente los estatutos que rigen a las Fuerzas Armadas cuentan con normas insuficientes de protección al denunciante. Es la voluntad de estos firmantes perfeccionar las disposiciones que protejan a quienes denuncian irregularidades y faltas a la probidad en las Fuerzas Armadas como las incorporadas por la Ley N° 20.205, tomando en cuenta las características especiales de la carrera militar.</w:t>
      </w:r>
    </w:p>
    <w:p w:rsidR="0060684D" w:rsidRPr="00233669" w:rsidRDefault="0060684D" w:rsidP="001E0967">
      <w:pPr>
        <w:ind w:left="360" w:right="-279"/>
        <w:jc w:val="both"/>
        <w:rPr>
          <w:rFonts w:ascii="Bookman Old Style" w:hAnsi="Bookman Old Style" w:cs="Times New Roman"/>
          <w:sz w:val="24"/>
          <w:szCs w:val="24"/>
        </w:rPr>
      </w:pPr>
    </w:p>
    <w:p w:rsidR="0060684D" w:rsidRPr="00233669" w:rsidRDefault="0060684D" w:rsidP="001E0967">
      <w:pPr>
        <w:ind w:left="360" w:right="-279"/>
        <w:jc w:val="both"/>
        <w:rPr>
          <w:rFonts w:ascii="Bookman Old Style" w:hAnsi="Bookman Old Style" w:cs="Times New Roman"/>
          <w:sz w:val="24"/>
          <w:szCs w:val="24"/>
        </w:rPr>
      </w:pPr>
      <w:r w:rsidRPr="00233669">
        <w:rPr>
          <w:rFonts w:ascii="Bookman Old Style" w:hAnsi="Bookman Old Style" w:cs="Times New Roman"/>
          <w:sz w:val="24"/>
          <w:szCs w:val="24"/>
        </w:rPr>
        <w:t xml:space="preserve">De hecho, la especialidad en razón de las materias de personal en las Fuerzas Armadas fue reconocida en el fallo de la Tercera Sala de la Corte Suprema, </w:t>
      </w:r>
      <w:r w:rsidR="001E0967">
        <w:rPr>
          <w:rFonts w:ascii="Bookman Old Style" w:hAnsi="Bookman Old Style" w:cs="Times New Roman"/>
          <w:sz w:val="24"/>
          <w:szCs w:val="24"/>
        </w:rPr>
        <w:t xml:space="preserve"> </w:t>
      </w:r>
      <w:r w:rsidRPr="00233669">
        <w:rPr>
          <w:rFonts w:ascii="Bookman Old Style" w:hAnsi="Bookman Old Style" w:cs="Times New Roman"/>
          <w:sz w:val="24"/>
          <w:szCs w:val="24"/>
        </w:rPr>
        <w:t>Rol N° 32.615-2018, al admitir la aplicación supletoria de la protección al denunciante contenida en el Estatuto Administrativo, ante vacíos legales.</w:t>
      </w:r>
    </w:p>
    <w:p w:rsidR="0060684D" w:rsidRDefault="0060684D" w:rsidP="001E0967">
      <w:pPr>
        <w:ind w:left="360" w:right="-279"/>
        <w:jc w:val="both"/>
        <w:rPr>
          <w:rFonts w:ascii="Bookman Old Style" w:hAnsi="Bookman Old Style" w:cs="Times New Roman"/>
          <w:sz w:val="24"/>
          <w:szCs w:val="24"/>
        </w:rPr>
      </w:pPr>
    </w:p>
    <w:p w:rsidR="001E0967" w:rsidRDefault="001E0967" w:rsidP="001E0967">
      <w:pPr>
        <w:ind w:left="360" w:right="-279"/>
        <w:jc w:val="both"/>
        <w:rPr>
          <w:rFonts w:ascii="Bookman Old Style" w:hAnsi="Bookman Old Style" w:cs="Times New Roman"/>
          <w:sz w:val="24"/>
          <w:szCs w:val="24"/>
        </w:rPr>
      </w:pPr>
    </w:p>
    <w:p w:rsidR="001E0967" w:rsidRDefault="001E0967" w:rsidP="001E0967">
      <w:pPr>
        <w:ind w:left="360" w:right="-279"/>
        <w:jc w:val="both"/>
        <w:rPr>
          <w:rFonts w:ascii="Bookman Old Style" w:hAnsi="Bookman Old Style" w:cs="Times New Roman"/>
          <w:sz w:val="24"/>
          <w:szCs w:val="24"/>
        </w:rPr>
      </w:pPr>
    </w:p>
    <w:p w:rsidR="001E0967" w:rsidRDefault="001E0967" w:rsidP="001E0967">
      <w:pPr>
        <w:ind w:left="360" w:right="-279"/>
        <w:jc w:val="both"/>
        <w:rPr>
          <w:rFonts w:ascii="Bookman Old Style" w:hAnsi="Bookman Old Style" w:cs="Times New Roman"/>
          <w:sz w:val="24"/>
          <w:szCs w:val="24"/>
        </w:rPr>
      </w:pPr>
    </w:p>
    <w:p w:rsidR="001E0967" w:rsidRPr="00233669" w:rsidRDefault="001E0967" w:rsidP="001E0967">
      <w:pPr>
        <w:ind w:left="360" w:right="-279"/>
        <w:jc w:val="both"/>
        <w:rPr>
          <w:rFonts w:ascii="Bookman Old Style" w:hAnsi="Bookman Old Style" w:cs="Times New Roman"/>
          <w:sz w:val="24"/>
          <w:szCs w:val="24"/>
        </w:rPr>
      </w:pPr>
    </w:p>
    <w:p w:rsidR="0060684D" w:rsidRPr="00233669" w:rsidRDefault="0060684D" w:rsidP="001E0967">
      <w:pPr>
        <w:ind w:left="360" w:right="-279"/>
        <w:jc w:val="both"/>
        <w:rPr>
          <w:rFonts w:ascii="Bookman Old Style" w:hAnsi="Bookman Old Style" w:cs="Times New Roman"/>
          <w:sz w:val="24"/>
          <w:szCs w:val="24"/>
        </w:rPr>
      </w:pPr>
      <w:r w:rsidRPr="00233669">
        <w:rPr>
          <w:rFonts w:ascii="Bookman Old Style" w:hAnsi="Bookman Old Style" w:cs="Times New Roman"/>
          <w:sz w:val="24"/>
          <w:szCs w:val="24"/>
        </w:rPr>
        <w:t>En efecto, la supletoriedad se refiere a “todo lo que soluciona un error, desacierto o falta”</w:t>
      </w:r>
      <w:r w:rsidRPr="00233669">
        <w:rPr>
          <w:rStyle w:val="Refdenotaalpie"/>
          <w:rFonts w:ascii="Bookman Old Style" w:hAnsi="Bookman Old Style" w:cs="Times New Roman"/>
          <w:sz w:val="24"/>
          <w:szCs w:val="24"/>
        </w:rPr>
        <w:footnoteReference w:id="1"/>
      </w:r>
      <w:r w:rsidRPr="00233669">
        <w:rPr>
          <w:rFonts w:ascii="Bookman Old Style" w:hAnsi="Bookman Old Style" w:cs="Times New Roman"/>
          <w:sz w:val="24"/>
          <w:szCs w:val="24"/>
        </w:rPr>
        <w:t xml:space="preserve">. La Real Academia Española reconoce los orígenes de esta técnica de integración normativa, en el latín </w:t>
      </w:r>
      <w:proofErr w:type="spellStart"/>
      <w:r w:rsidRPr="00233669">
        <w:rPr>
          <w:rFonts w:ascii="Bookman Old Style" w:hAnsi="Bookman Old Style" w:cs="Times New Roman"/>
          <w:i/>
          <w:sz w:val="24"/>
          <w:szCs w:val="24"/>
        </w:rPr>
        <w:t>suppletorium</w:t>
      </w:r>
      <w:proofErr w:type="spellEnd"/>
      <w:r w:rsidRPr="00233669">
        <w:rPr>
          <w:rFonts w:ascii="Bookman Old Style" w:hAnsi="Bookman Old Style" w:cs="Times New Roman"/>
          <w:i/>
          <w:sz w:val="24"/>
          <w:szCs w:val="24"/>
        </w:rPr>
        <w:t>; “Dícese de lo que suple una falta”</w:t>
      </w:r>
      <w:r w:rsidRPr="00233669">
        <w:rPr>
          <w:rFonts w:ascii="Bookman Old Style" w:hAnsi="Bookman Old Style" w:cs="Times New Roman"/>
          <w:sz w:val="24"/>
          <w:szCs w:val="24"/>
        </w:rPr>
        <w:t xml:space="preserve">. Específicamente, la RAE definiendo </w:t>
      </w:r>
      <w:r w:rsidRPr="00233669">
        <w:rPr>
          <w:rFonts w:ascii="Bookman Old Style" w:hAnsi="Bookman Old Style" w:cs="Times New Roman"/>
          <w:i/>
          <w:sz w:val="24"/>
          <w:szCs w:val="24"/>
        </w:rPr>
        <w:t>“supletorio”</w:t>
      </w:r>
      <w:r w:rsidRPr="00233669">
        <w:rPr>
          <w:rFonts w:ascii="Bookman Old Style" w:hAnsi="Bookman Old Style" w:cs="Times New Roman"/>
          <w:sz w:val="24"/>
          <w:szCs w:val="24"/>
        </w:rPr>
        <w:t xml:space="preserve"> en derecho, señala: </w:t>
      </w:r>
      <w:r w:rsidRPr="00233669">
        <w:rPr>
          <w:rFonts w:ascii="Bookman Old Style" w:hAnsi="Bookman Old Style" w:cs="Times New Roman"/>
          <w:i/>
          <w:sz w:val="24"/>
          <w:szCs w:val="24"/>
        </w:rPr>
        <w:t>“Dicho de una norma: Que se aplica en defecto de otra. El Código Civil es supletorio en algunas materias”.</w:t>
      </w:r>
    </w:p>
    <w:p w:rsidR="0060684D" w:rsidRPr="00233669" w:rsidRDefault="0060684D" w:rsidP="001E0967">
      <w:pPr>
        <w:ind w:left="360" w:right="-279"/>
        <w:jc w:val="both"/>
        <w:rPr>
          <w:rFonts w:ascii="Bookman Old Style" w:hAnsi="Bookman Old Style" w:cs="Times New Roman"/>
          <w:sz w:val="24"/>
          <w:szCs w:val="24"/>
        </w:rPr>
      </w:pPr>
    </w:p>
    <w:p w:rsidR="0060684D" w:rsidRPr="00233669" w:rsidRDefault="0060684D" w:rsidP="001E0967">
      <w:pPr>
        <w:ind w:left="360" w:right="-279"/>
        <w:jc w:val="both"/>
        <w:rPr>
          <w:rFonts w:ascii="Bookman Old Style" w:hAnsi="Bookman Old Style" w:cs="Times New Roman"/>
          <w:sz w:val="24"/>
          <w:szCs w:val="24"/>
        </w:rPr>
      </w:pPr>
      <w:r w:rsidRPr="00233669">
        <w:rPr>
          <w:rFonts w:ascii="Bookman Old Style" w:hAnsi="Bookman Old Style" w:cs="Times New Roman"/>
          <w:sz w:val="24"/>
          <w:szCs w:val="24"/>
        </w:rPr>
        <w:t>Hablamos, entonces, de un concepto que conlleva una temporalidad. Como afirma Orellana “Su carácter de concepto funcional se fundamenta, precisamente, en el hecho de satisfacer dichas exigencias de manera transitoria, para el caso y la hipótesis planteadas como ausente y no en forma permanente, por lo que sería preciso resolver dichas ausencias a nivel normativo en forma rápida”</w:t>
      </w:r>
      <w:r w:rsidRPr="00233669">
        <w:rPr>
          <w:rStyle w:val="Refdenotaalpie"/>
          <w:rFonts w:ascii="Bookman Old Style" w:hAnsi="Bookman Old Style" w:cs="Times New Roman"/>
          <w:sz w:val="24"/>
          <w:szCs w:val="24"/>
        </w:rPr>
        <w:footnoteReference w:id="2"/>
      </w:r>
      <w:r w:rsidRPr="00233669">
        <w:rPr>
          <w:rFonts w:ascii="Bookman Old Style" w:hAnsi="Bookman Old Style" w:cs="Times New Roman"/>
          <w:sz w:val="24"/>
          <w:szCs w:val="24"/>
        </w:rPr>
        <w:t>.</w:t>
      </w:r>
    </w:p>
    <w:p w:rsidR="0060684D" w:rsidRDefault="0060684D" w:rsidP="001E0967">
      <w:pPr>
        <w:ind w:right="-279"/>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numPr>
          <w:ilvl w:val="0"/>
          <w:numId w:val="2"/>
        </w:numPr>
        <w:ind w:right="-279"/>
        <w:jc w:val="both"/>
        <w:rPr>
          <w:rFonts w:ascii="Bookman Old Style" w:hAnsi="Bookman Old Style" w:cs="Times New Roman"/>
          <w:b/>
          <w:smallCaps/>
          <w:sz w:val="24"/>
          <w:szCs w:val="24"/>
        </w:rPr>
      </w:pPr>
      <w:r w:rsidRPr="00233669">
        <w:rPr>
          <w:rFonts w:ascii="Bookman Old Style" w:hAnsi="Bookman Old Style" w:cs="Times New Roman"/>
          <w:b/>
          <w:smallCaps/>
          <w:sz w:val="24"/>
          <w:szCs w:val="24"/>
        </w:rPr>
        <w:t>Especialidades que se deben tener en cuenta.</w:t>
      </w:r>
    </w:p>
    <w:p w:rsidR="0060684D" w:rsidRPr="00233669" w:rsidRDefault="0060684D" w:rsidP="001E0967">
      <w:pPr>
        <w:ind w:left="720" w:right="-279"/>
        <w:jc w:val="both"/>
        <w:rPr>
          <w:rFonts w:ascii="Bookman Old Style" w:hAnsi="Bookman Old Style" w:cs="Times New Roman"/>
          <w:b/>
          <w:smallCaps/>
          <w:sz w:val="24"/>
          <w:szCs w:val="24"/>
        </w:rPr>
      </w:pPr>
    </w:p>
    <w:p w:rsidR="0060684D" w:rsidRPr="00233669" w:rsidRDefault="0060684D" w:rsidP="001E0967">
      <w:pPr>
        <w:ind w:left="360" w:right="-279"/>
        <w:jc w:val="both"/>
        <w:rPr>
          <w:rFonts w:ascii="Bookman Old Style" w:hAnsi="Bookman Old Style" w:cs="Times New Roman"/>
          <w:sz w:val="24"/>
          <w:szCs w:val="24"/>
        </w:rPr>
      </w:pPr>
      <w:r w:rsidRPr="00233669">
        <w:rPr>
          <w:rFonts w:ascii="Bookman Old Style" w:hAnsi="Bookman Old Style" w:cs="Times New Roman"/>
          <w:sz w:val="24"/>
          <w:szCs w:val="24"/>
        </w:rPr>
        <w:t>Esta moción viene a mejorar las limitaciones en los estatutos de las Fuerzas Armadas reconociendo la especialidad y respetando los principios que inspiran la defensa de la probidad en toda la legislación administrativa. Se</w:t>
      </w:r>
      <w:r w:rsidR="001E0967">
        <w:rPr>
          <w:rFonts w:ascii="Bookman Old Style" w:hAnsi="Bookman Old Style" w:cs="Times New Roman"/>
          <w:sz w:val="24"/>
          <w:szCs w:val="24"/>
        </w:rPr>
        <w:t xml:space="preserve">  </w:t>
      </w:r>
      <w:r w:rsidRPr="00233669">
        <w:rPr>
          <w:rFonts w:ascii="Bookman Old Style" w:hAnsi="Bookman Old Style" w:cs="Times New Roman"/>
          <w:sz w:val="24"/>
          <w:szCs w:val="24"/>
        </w:rPr>
        <w:t xml:space="preserve"> incorporan, así, un conjunto de normas que mejoran la protección del denunciante de irregularidades y/o faltas a la probidad con las notas distintivas de la carrera militar.</w:t>
      </w:r>
    </w:p>
    <w:p w:rsidR="0060684D" w:rsidRPr="00233669" w:rsidRDefault="0060684D" w:rsidP="001E0967">
      <w:pPr>
        <w:ind w:left="360" w:right="-279"/>
        <w:jc w:val="both"/>
        <w:rPr>
          <w:rFonts w:ascii="Bookman Old Style" w:hAnsi="Bookman Old Style" w:cs="Times New Roman"/>
          <w:sz w:val="24"/>
          <w:szCs w:val="24"/>
        </w:rPr>
      </w:pPr>
    </w:p>
    <w:p w:rsidR="0060684D" w:rsidRPr="00233669" w:rsidRDefault="0060684D" w:rsidP="001E0967">
      <w:pPr>
        <w:ind w:left="360" w:right="-279"/>
        <w:jc w:val="both"/>
        <w:rPr>
          <w:rFonts w:ascii="Bookman Old Style" w:hAnsi="Bookman Old Style" w:cs="Times New Roman"/>
          <w:sz w:val="24"/>
          <w:szCs w:val="24"/>
        </w:rPr>
      </w:pPr>
      <w:r w:rsidRPr="00233669">
        <w:rPr>
          <w:rFonts w:ascii="Bookman Old Style" w:hAnsi="Bookman Old Style" w:cs="Times New Roman"/>
          <w:sz w:val="24"/>
          <w:szCs w:val="24"/>
        </w:rPr>
        <w:t>Así, se debe tener en cuenta:</w:t>
      </w:r>
    </w:p>
    <w:p w:rsidR="0060684D" w:rsidRPr="00233669" w:rsidRDefault="0060684D" w:rsidP="001E0967">
      <w:pPr>
        <w:ind w:left="360" w:right="-279"/>
        <w:jc w:val="both"/>
        <w:rPr>
          <w:rFonts w:ascii="Bookman Old Style" w:hAnsi="Bookman Old Style" w:cs="Times New Roman"/>
          <w:sz w:val="24"/>
          <w:szCs w:val="24"/>
        </w:rPr>
      </w:pPr>
    </w:p>
    <w:p w:rsidR="0060684D" w:rsidRPr="00233669" w:rsidRDefault="0060684D" w:rsidP="001E0967">
      <w:pPr>
        <w:numPr>
          <w:ilvl w:val="1"/>
          <w:numId w:val="3"/>
        </w:numPr>
        <w:ind w:right="-279"/>
        <w:jc w:val="both"/>
        <w:rPr>
          <w:rFonts w:ascii="Bookman Old Style" w:hAnsi="Bookman Old Style" w:cs="Times New Roman"/>
          <w:sz w:val="24"/>
          <w:szCs w:val="24"/>
        </w:rPr>
      </w:pPr>
      <w:r w:rsidRPr="00233669">
        <w:rPr>
          <w:rFonts w:ascii="Bookman Old Style" w:hAnsi="Bookman Old Style" w:cs="Times New Roman"/>
          <w:sz w:val="24"/>
          <w:szCs w:val="24"/>
        </w:rPr>
        <w:t>La estructura jerárquica de las FF.AA. y la cadena de mando que la caracteriza, cuya vulneración compromete la necesaria disciplina de los cuerpos armados.</w:t>
      </w:r>
    </w:p>
    <w:p w:rsidR="0060684D" w:rsidRPr="00233669" w:rsidRDefault="0060684D" w:rsidP="001E0967">
      <w:pPr>
        <w:ind w:left="1440" w:right="-279"/>
        <w:jc w:val="both"/>
        <w:rPr>
          <w:rFonts w:ascii="Bookman Old Style" w:hAnsi="Bookman Old Style" w:cs="Times New Roman"/>
          <w:sz w:val="24"/>
          <w:szCs w:val="24"/>
        </w:rPr>
      </w:pPr>
    </w:p>
    <w:p w:rsidR="0060684D" w:rsidRPr="00233669" w:rsidRDefault="0060684D" w:rsidP="001E0967">
      <w:pPr>
        <w:numPr>
          <w:ilvl w:val="1"/>
          <w:numId w:val="3"/>
        </w:numPr>
        <w:ind w:right="-279"/>
        <w:jc w:val="both"/>
        <w:rPr>
          <w:rFonts w:ascii="Bookman Old Style" w:hAnsi="Bookman Old Style" w:cs="Times New Roman"/>
          <w:sz w:val="24"/>
          <w:szCs w:val="24"/>
        </w:rPr>
      </w:pPr>
      <w:r w:rsidRPr="00233669">
        <w:rPr>
          <w:rFonts w:ascii="Bookman Old Style" w:hAnsi="Bookman Old Style" w:cs="Times New Roman"/>
          <w:sz w:val="24"/>
          <w:szCs w:val="24"/>
        </w:rPr>
        <w:t xml:space="preserve">El especial sistema de calificaciones y cupos de las FF.AA. que no solo definen la carrera militar sino la estructura misma de las instituciones, ya que, los ascensos van directamente vinculados con los retiros y éstos, con las calificaciones. En efecto, de conformidad con lo previsto en el artículo 25 de la Ley N° 18.948, el Presidente </w:t>
      </w:r>
      <w:r w:rsidR="001E0967">
        <w:rPr>
          <w:rFonts w:ascii="Bookman Old Style" w:hAnsi="Bookman Old Style" w:cs="Times New Roman"/>
          <w:sz w:val="24"/>
          <w:szCs w:val="24"/>
        </w:rPr>
        <w:t xml:space="preserve">  </w:t>
      </w:r>
      <w:r w:rsidRPr="00233669">
        <w:rPr>
          <w:rFonts w:ascii="Bookman Old Style" w:hAnsi="Bookman Old Style" w:cs="Times New Roman"/>
          <w:sz w:val="24"/>
          <w:szCs w:val="24"/>
        </w:rPr>
        <w:t xml:space="preserve">de la República, a proposición del respectivo Comandante en Jefe, determinará el número o cuota de oficiales que, anualmente, deben acogerse a retiro o ingresar al escalafón de complemento, de acuerdo con las necesidades de cada institución. La misma atribución corresponde a los Comandantes en Jefe respecto del personal del Cuadro Permanente y de Gente de Mar y Empleados Civiles. Así, el sistema de calificaciones de la Fuerzas Armadas y las Juntas de Selección y Apelación tienen por objeto no solo calificar y clasificar </w:t>
      </w:r>
      <w:r w:rsidR="001E0967">
        <w:rPr>
          <w:rFonts w:ascii="Bookman Old Style" w:hAnsi="Bookman Old Style" w:cs="Times New Roman"/>
          <w:sz w:val="24"/>
          <w:szCs w:val="24"/>
        </w:rPr>
        <w:t xml:space="preserve">  </w:t>
      </w:r>
      <w:r w:rsidRPr="00233669">
        <w:rPr>
          <w:rFonts w:ascii="Bookman Old Style" w:hAnsi="Bookman Old Style" w:cs="Times New Roman"/>
          <w:sz w:val="24"/>
          <w:szCs w:val="24"/>
        </w:rPr>
        <w:t xml:space="preserve">al personal de acuerdo a su comportamiento funcionario y a su </w:t>
      </w:r>
      <w:r w:rsidRPr="00233669">
        <w:rPr>
          <w:rFonts w:ascii="Bookman Old Style" w:hAnsi="Bookman Old Style" w:cs="Times New Roman"/>
          <w:sz w:val="24"/>
          <w:szCs w:val="24"/>
        </w:rPr>
        <w:lastRenderedPageBreak/>
        <w:t>capacidad, competencias e idoneidad profesional, sino que además, efectúan una proyección a un año plazo, de la conformación de la estructura del personal de la institución correspondiente.</w:t>
      </w:r>
    </w:p>
    <w:p w:rsidR="0060684D" w:rsidRPr="00233669" w:rsidRDefault="0060684D" w:rsidP="001E0967">
      <w:pPr>
        <w:ind w:left="1440" w:right="-279"/>
        <w:jc w:val="both"/>
        <w:rPr>
          <w:rFonts w:ascii="Bookman Old Style" w:hAnsi="Bookman Old Style" w:cs="Times New Roman"/>
          <w:sz w:val="24"/>
          <w:szCs w:val="24"/>
        </w:rPr>
      </w:pPr>
    </w:p>
    <w:p w:rsidR="0060684D" w:rsidRPr="00233669" w:rsidRDefault="0060684D" w:rsidP="001E0967">
      <w:pPr>
        <w:numPr>
          <w:ilvl w:val="1"/>
          <w:numId w:val="3"/>
        </w:numPr>
        <w:ind w:right="-279"/>
        <w:jc w:val="both"/>
        <w:rPr>
          <w:rFonts w:ascii="Bookman Old Style" w:hAnsi="Bookman Old Style" w:cs="Times New Roman"/>
          <w:sz w:val="24"/>
          <w:szCs w:val="24"/>
        </w:rPr>
      </w:pPr>
      <w:r w:rsidRPr="00233669">
        <w:rPr>
          <w:rFonts w:ascii="Bookman Old Style" w:hAnsi="Bookman Old Style" w:cs="Times New Roman"/>
          <w:sz w:val="24"/>
          <w:szCs w:val="24"/>
        </w:rPr>
        <w:t xml:space="preserve">Se deben considerar los diferentes tipos de vinculación contractual que existe al interior de las FF. AA, de manera que cualquiera que </w:t>
      </w:r>
      <w:r w:rsidR="001E0967">
        <w:rPr>
          <w:rFonts w:ascii="Bookman Old Style" w:hAnsi="Bookman Old Style" w:cs="Times New Roman"/>
          <w:sz w:val="24"/>
          <w:szCs w:val="24"/>
        </w:rPr>
        <w:t xml:space="preserve">  </w:t>
      </w:r>
      <w:r w:rsidRPr="00233669">
        <w:rPr>
          <w:rFonts w:ascii="Bookman Old Style" w:hAnsi="Bookman Old Style" w:cs="Times New Roman"/>
          <w:sz w:val="24"/>
          <w:szCs w:val="24"/>
        </w:rPr>
        <w:t>se relacione laboralmente con ellas se encuentre protegido por el estatuto.</w:t>
      </w: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numPr>
          <w:ilvl w:val="1"/>
          <w:numId w:val="3"/>
        </w:numPr>
        <w:ind w:right="-279"/>
        <w:jc w:val="both"/>
        <w:rPr>
          <w:rFonts w:ascii="Bookman Old Style" w:hAnsi="Bookman Old Style" w:cs="Times New Roman"/>
          <w:sz w:val="24"/>
          <w:szCs w:val="24"/>
        </w:rPr>
      </w:pPr>
      <w:r w:rsidRPr="00233669">
        <w:rPr>
          <w:rFonts w:ascii="Bookman Old Style" w:hAnsi="Bookman Old Style" w:cs="Times New Roman"/>
          <w:sz w:val="24"/>
          <w:szCs w:val="24"/>
        </w:rPr>
        <w:t xml:space="preserve">Además, hay que tener en cuenta la estructura recursiva de los procedimientos administrativos al interior de las FF.AA. que puede llevar hasta la Presidencia de la República, lo que lleva a que el procedimiento pueda extenderse por mucho tiempo. Hay que evitar que la protección para el denunciante se transforme en un mecanismo para impedir las calificaciones. </w:t>
      </w: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cs="Times New Roman"/>
          <w:sz w:val="24"/>
          <w:szCs w:val="24"/>
        </w:rPr>
      </w:pPr>
      <w:r w:rsidRPr="00233669">
        <w:rPr>
          <w:rFonts w:ascii="Bookman Old Style" w:hAnsi="Bookman Old Style" w:cs="Times New Roman"/>
          <w:sz w:val="24"/>
          <w:szCs w:val="24"/>
        </w:rPr>
        <w:t>Atendiendo a las especialidades de la carrera militar se comprende por qué la aplicación de las normas contenidas en el artículo 90 A del Estatuto Administrativo, cuyos principios son los correctos y que estos autores compartimos, de aplicarse literalmente genera una serie de dificultades y complejidades. De este modo, por ejemplo:</w:t>
      </w: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numPr>
          <w:ilvl w:val="1"/>
          <w:numId w:val="3"/>
        </w:numPr>
        <w:ind w:right="-279"/>
        <w:jc w:val="both"/>
        <w:rPr>
          <w:rFonts w:ascii="Bookman Old Style" w:hAnsi="Bookman Old Style" w:cs="Times New Roman"/>
          <w:sz w:val="24"/>
          <w:szCs w:val="24"/>
        </w:rPr>
      </w:pPr>
      <w:r w:rsidRPr="00233669">
        <w:rPr>
          <w:rFonts w:ascii="Bookman Old Style" w:hAnsi="Bookman Old Style" w:cs="Times New Roman"/>
          <w:i/>
          <w:sz w:val="24"/>
          <w:szCs w:val="24"/>
        </w:rPr>
        <w:t xml:space="preserve">“No podrán ser objeto de las medidas disciplinarias de suspensión </w:t>
      </w:r>
      <w:r w:rsidR="00B228BF">
        <w:rPr>
          <w:rFonts w:ascii="Bookman Old Style" w:hAnsi="Bookman Old Style" w:cs="Times New Roman"/>
          <w:i/>
          <w:sz w:val="24"/>
          <w:szCs w:val="24"/>
        </w:rPr>
        <w:t xml:space="preserve">  </w:t>
      </w:r>
      <w:r w:rsidRPr="00233669">
        <w:rPr>
          <w:rFonts w:ascii="Bookman Old Style" w:hAnsi="Bookman Old Style" w:cs="Times New Roman"/>
          <w:i/>
          <w:sz w:val="24"/>
          <w:szCs w:val="24"/>
        </w:rPr>
        <w:t xml:space="preserve">del empleo o de destitución desde la fecha en que la autoridad reciba la denuncia y hasta la fecha en que se resuelva en definitiva no tenerla por presentada o, en su caso, hasta noventa días después de haber terminado la investigación sumaria o sumario, incoados a </w:t>
      </w:r>
      <w:r w:rsidR="00B228BF">
        <w:rPr>
          <w:rFonts w:ascii="Bookman Old Style" w:hAnsi="Bookman Old Style" w:cs="Times New Roman"/>
          <w:i/>
          <w:sz w:val="24"/>
          <w:szCs w:val="24"/>
        </w:rPr>
        <w:t xml:space="preserve">  </w:t>
      </w:r>
      <w:r w:rsidRPr="00233669">
        <w:rPr>
          <w:rFonts w:ascii="Bookman Old Style" w:hAnsi="Bookman Old Style" w:cs="Times New Roman"/>
          <w:i/>
          <w:sz w:val="24"/>
          <w:szCs w:val="24"/>
        </w:rPr>
        <w:t xml:space="preserve">partir de la citada denuncia.”. </w:t>
      </w:r>
      <w:r w:rsidRPr="00233669">
        <w:rPr>
          <w:rFonts w:ascii="Bookman Old Style" w:hAnsi="Bookman Old Style" w:cs="Times New Roman"/>
          <w:sz w:val="24"/>
          <w:szCs w:val="24"/>
        </w:rPr>
        <w:t>De aplicarse esta disposición, considerando la extensión de los procedimientos administrativos al interior de las Fuerzas Armadas por su sistema recursivo, bastaría denunciar para detener cualquier proceso de baja; dañando el curso regular, la disciplina y la propia estructura de la institución.</w:t>
      </w:r>
    </w:p>
    <w:p w:rsidR="0060684D" w:rsidRPr="00233669" w:rsidRDefault="0060684D" w:rsidP="001E0967">
      <w:pPr>
        <w:ind w:left="1440" w:right="-279"/>
        <w:jc w:val="both"/>
        <w:rPr>
          <w:rFonts w:ascii="Bookman Old Style" w:hAnsi="Bookman Old Style" w:cs="Times New Roman"/>
          <w:sz w:val="24"/>
          <w:szCs w:val="24"/>
        </w:rPr>
      </w:pPr>
    </w:p>
    <w:p w:rsidR="0060684D" w:rsidRPr="00233669" w:rsidRDefault="0060684D" w:rsidP="001E0967">
      <w:pPr>
        <w:numPr>
          <w:ilvl w:val="1"/>
          <w:numId w:val="3"/>
        </w:numPr>
        <w:ind w:right="-279"/>
        <w:jc w:val="both"/>
        <w:rPr>
          <w:rFonts w:ascii="Bookman Old Style" w:hAnsi="Bookman Old Style" w:cs="Times New Roman"/>
          <w:i/>
          <w:sz w:val="24"/>
          <w:szCs w:val="24"/>
        </w:rPr>
      </w:pPr>
      <w:r w:rsidRPr="00233669">
        <w:rPr>
          <w:rFonts w:ascii="Bookman Old Style" w:hAnsi="Bookman Old Style" w:cs="Times New Roman"/>
          <w:i/>
          <w:sz w:val="24"/>
          <w:szCs w:val="24"/>
        </w:rPr>
        <w:t xml:space="preserve">“No ser trasladados de localidad o de la función que desempeñaren, sin su autorización por escrito, durante el lapso a que se refiere la </w:t>
      </w:r>
      <w:r w:rsidR="00B228BF">
        <w:rPr>
          <w:rFonts w:ascii="Bookman Old Style" w:hAnsi="Bookman Old Style" w:cs="Times New Roman"/>
          <w:i/>
          <w:sz w:val="24"/>
          <w:szCs w:val="24"/>
        </w:rPr>
        <w:t xml:space="preserve"> </w:t>
      </w:r>
      <w:r w:rsidRPr="00233669">
        <w:rPr>
          <w:rFonts w:ascii="Bookman Old Style" w:hAnsi="Bookman Old Style" w:cs="Times New Roman"/>
          <w:i/>
          <w:sz w:val="24"/>
          <w:szCs w:val="24"/>
        </w:rPr>
        <w:t xml:space="preserve">letra precedente;”. </w:t>
      </w:r>
      <w:r w:rsidRPr="00233669">
        <w:rPr>
          <w:rFonts w:ascii="Bookman Old Style" w:hAnsi="Bookman Old Style" w:cs="Times New Roman"/>
          <w:sz w:val="24"/>
          <w:szCs w:val="24"/>
        </w:rPr>
        <w:t>Esto provocaría un grave daño al régimen de transbordos y destinaciones en las instituciones castrenses, porque dichos traslados del personal constituyen un procedimiento regular que se efectúa año a año en las Fuerzas Armadas para efectos del desarrollo de la carrera profesional, cumplimiento de requisitos de ascenso, calificación de especialidad</w:t>
      </w:r>
      <w:r w:rsidR="00251482">
        <w:rPr>
          <w:rFonts w:ascii="Bookman Old Style" w:hAnsi="Bookman Old Style" w:cs="Times New Roman"/>
          <w:sz w:val="24"/>
          <w:szCs w:val="24"/>
        </w:rPr>
        <w:t>es, entre otras razones.</w:t>
      </w:r>
      <w:r w:rsidRPr="00233669">
        <w:rPr>
          <w:rFonts w:ascii="Bookman Old Style" w:hAnsi="Bookman Old Style" w:cs="Times New Roman"/>
          <w:sz w:val="24"/>
          <w:szCs w:val="24"/>
        </w:rPr>
        <w:t xml:space="preserve"> Si el denunciante pudiera frenar su transbordo o nueva destinación con </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la denuncia de un hecho irregular, se produciría entonces también un grave daño a la jerarquía, disciplina y eficacia operativa de las Fuerzas Armadas.</w:t>
      </w:r>
    </w:p>
    <w:p w:rsidR="0060684D" w:rsidRPr="00233669" w:rsidRDefault="0060684D" w:rsidP="001E0967">
      <w:pPr>
        <w:ind w:right="-279"/>
        <w:jc w:val="both"/>
        <w:rPr>
          <w:rFonts w:ascii="Bookman Old Style" w:hAnsi="Bookman Old Style" w:cs="Times New Roman"/>
          <w:i/>
          <w:sz w:val="24"/>
          <w:szCs w:val="24"/>
        </w:rPr>
      </w:pPr>
    </w:p>
    <w:p w:rsidR="0060684D" w:rsidRPr="00233669" w:rsidRDefault="0060684D" w:rsidP="001E0967">
      <w:pPr>
        <w:numPr>
          <w:ilvl w:val="1"/>
          <w:numId w:val="3"/>
        </w:numPr>
        <w:ind w:right="-279"/>
        <w:jc w:val="both"/>
        <w:rPr>
          <w:rFonts w:ascii="Bookman Old Style" w:hAnsi="Bookman Old Style" w:cs="Times New Roman"/>
          <w:sz w:val="24"/>
          <w:szCs w:val="24"/>
        </w:rPr>
      </w:pPr>
      <w:r w:rsidRPr="00233669">
        <w:rPr>
          <w:rFonts w:ascii="Bookman Old Style" w:hAnsi="Bookman Old Style" w:cs="Times New Roman"/>
          <w:i/>
          <w:sz w:val="24"/>
          <w:szCs w:val="24"/>
        </w:rPr>
        <w:t>“No ser objeto de precalificación anual, si el denunciado fuese su superior jerárquico, durante el mismo lapso a que se refieren las letras anteriores, salvo que expresamente lo solicitare el denunciante. Si no</w:t>
      </w:r>
      <w:r w:rsidR="00B228BF">
        <w:rPr>
          <w:rFonts w:ascii="Bookman Old Style" w:hAnsi="Bookman Old Style" w:cs="Times New Roman"/>
          <w:i/>
          <w:sz w:val="24"/>
          <w:szCs w:val="24"/>
        </w:rPr>
        <w:t xml:space="preserve"> </w:t>
      </w:r>
      <w:r w:rsidRPr="00233669">
        <w:rPr>
          <w:rFonts w:ascii="Bookman Old Style" w:hAnsi="Bookman Old Style" w:cs="Times New Roman"/>
          <w:i/>
          <w:sz w:val="24"/>
          <w:szCs w:val="24"/>
        </w:rPr>
        <w:t xml:space="preserve"> </w:t>
      </w:r>
      <w:r w:rsidRPr="00233669">
        <w:rPr>
          <w:rFonts w:ascii="Bookman Old Style" w:hAnsi="Bookman Old Style" w:cs="Times New Roman"/>
          <w:i/>
          <w:sz w:val="24"/>
          <w:szCs w:val="24"/>
        </w:rPr>
        <w:lastRenderedPageBreak/>
        <w:t>lo hiciere, regirá su última calificación para todos los efectos legales”.</w:t>
      </w:r>
      <w:r w:rsidRPr="00233669">
        <w:rPr>
          <w:rFonts w:ascii="Bookman Old Style" w:eastAsia="Calibri" w:hAnsi="Bookman Old Style" w:cs="Times New Roman"/>
          <w:sz w:val="24"/>
          <w:szCs w:val="24"/>
          <w:lang w:eastAsia="en-US"/>
        </w:rPr>
        <w:t xml:space="preserve"> </w:t>
      </w:r>
      <w:r w:rsidRPr="00233669">
        <w:rPr>
          <w:rFonts w:ascii="Bookman Old Style" w:hAnsi="Bookman Old Style" w:cs="Times New Roman"/>
          <w:sz w:val="24"/>
          <w:szCs w:val="24"/>
        </w:rPr>
        <w:t>Se tergiversa el sistema porque el personal que de acuerdo a su comportamiento haya sido clasificado en lista 4 (deficiente), o dos años consecutivos en lista 3 (condicional), debe legalmente ser eliminado del servicio mediante su inclusión en la Lista Anual de Retiro, cuya cuota o número es determinada por un estudio técnico que garantiza la dinámica de los escalafones y el carácter piramidal de la carrera profesional. Para los efectos anteriores, si no existe personal clasificado en estas listas 4 o 3, debe necesariamente completarse la cuota preestablecida con personal clasificado en lista 2 (normal) o, incluso, en lista 1 (muy bueno). De esta manera, si un personal que ya se encuentra clasificado en lista 4, o dos veces en lista 3, interpone una denuncia y ello suspende su calificación o retiro de la Institución, se producirá el efecto que la cuota del personal que debe ser incluido en la Lista Anual de Retiro, deberá necesariamente completarse, cada año, con personal de listas 2 y 1, es decir, se produciría el efecto que personal calificado como “muy bueno” o “normal” debería irse a retiro y  personal calificado como “condicional” o “deficiente” permanecería en servicio, en desmedro</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 xml:space="preserve"> del anterior, todo lo que vulnera gravemente el principio de la jerarquía y disciplina y, con ello, la eficacia operativa de las Fuerzas Armadas.</w:t>
      </w:r>
    </w:p>
    <w:p w:rsidR="0060684D" w:rsidRDefault="0060684D" w:rsidP="001E0967">
      <w:pPr>
        <w:ind w:left="1440" w:right="-279"/>
        <w:jc w:val="both"/>
        <w:rPr>
          <w:rFonts w:ascii="Bookman Old Style" w:hAnsi="Bookman Old Style" w:cs="Times New Roman"/>
          <w:sz w:val="24"/>
          <w:szCs w:val="24"/>
        </w:rPr>
      </w:pPr>
    </w:p>
    <w:p w:rsidR="00220829" w:rsidRPr="00233669" w:rsidRDefault="00220829" w:rsidP="001E0967">
      <w:pPr>
        <w:ind w:left="1440" w:right="-279"/>
        <w:jc w:val="both"/>
        <w:rPr>
          <w:rFonts w:ascii="Bookman Old Style" w:hAnsi="Bookman Old Style" w:cs="Times New Roman"/>
          <w:sz w:val="24"/>
          <w:szCs w:val="24"/>
        </w:rPr>
      </w:pPr>
    </w:p>
    <w:p w:rsidR="0060684D" w:rsidRPr="00220829" w:rsidRDefault="0060684D" w:rsidP="001E0967">
      <w:pPr>
        <w:numPr>
          <w:ilvl w:val="0"/>
          <w:numId w:val="2"/>
        </w:numPr>
        <w:ind w:right="-279"/>
        <w:jc w:val="both"/>
        <w:rPr>
          <w:rFonts w:ascii="Bookman Old Style" w:hAnsi="Bookman Old Style" w:cs="Times New Roman"/>
          <w:b/>
          <w:smallCaps/>
          <w:sz w:val="24"/>
          <w:szCs w:val="24"/>
        </w:rPr>
      </w:pPr>
      <w:r w:rsidRPr="00220829">
        <w:rPr>
          <w:rFonts w:ascii="Bookman Old Style" w:hAnsi="Bookman Old Style" w:cs="Times New Roman"/>
          <w:b/>
          <w:smallCaps/>
          <w:sz w:val="24"/>
          <w:szCs w:val="24"/>
        </w:rPr>
        <w:t>Principios comunes.</w:t>
      </w:r>
    </w:p>
    <w:p w:rsidR="0060684D" w:rsidRPr="00233669" w:rsidRDefault="0060684D" w:rsidP="001E0967">
      <w:pPr>
        <w:ind w:left="360" w:right="-279"/>
        <w:jc w:val="both"/>
        <w:rPr>
          <w:rFonts w:ascii="Bookman Old Style" w:hAnsi="Bookman Old Style" w:cs="Times New Roman"/>
          <w:sz w:val="24"/>
          <w:szCs w:val="24"/>
        </w:rPr>
      </w:pPr>
    </w:p>
    <w:p w:rsidR="0060684D" w:rsidRPr="00233669" w:rsidRDefault="0060684D" w:rsidP="001E0967">
      <w:pPr>
        <w:ind w:left="360" w:right="-279"/>
        <w:jc w:val="both"/>
        <w:rPr>
          <w:rFonts w:ascii="Bookman Old Style" w:hAnsi="Bookman Old Style" w:cs="Times New Roman"/>
          <w:sz w:val="24"/>
          <w:szCs w:val="24"/>
        </w:rPr>
      </w:pPr>
      <w:r w:rsidRPr="00233669">
        <w:rPr>
          <w:rFonts w:ascii="Bookman Old Style" w:hAnsi="Bookman Old Style" w:cs="Times New Roman"/>
          <w:sz w:val="24"/>
          <w:szCs w:val="24"/>
        </w:rPr>
        <w:t>Lo anterior no obsta a que se rescaten los principios y definiciones generales relativas a la probidad. Así, en los mismos términos del artículo 62 de la Ley N° 18.575, se considera que:</w:t>
      </w:r>
    </w:p>
    <w:p w:rsidR="0060684D" w:rsidRPr="00233669" w:rsidRDefault="0060684D" w:rsidP="001E0967">
      <w:pPr>
        <w:ind w:left="360" w:right="-279"/>
        <w:jc w:val="both"/>
        <w:rPr>
          <w:rFonts w:ascii="Bookman Old Style" w:hAnsi="Bookman Old Style" w:cs="Times New Roman"/>
          <w:sz w:val="24"/>
          <w:szCs w:val="24"/>
        </w:rPr>
      </w:pPr>
    </w:p>
    <w:p w:rsidR="0060684D" w:rsidRPr="00233669" w:rsidRDefault="0060684D" w:rsidP="001E0967">
      <w:pPr>
        <w:ind w:left="360" w:right="-279"/>
        <w:jc w:val="both"/>
        <w:rPr>
          <w:rFonts w:ascii="Bookman Old Style" w:hAnsi="Bookman Old Style" w:cs="Times New Roman"/>
          <w:i/>
          <w:iCs/>
          <w:sz w:val="24"/>
          <w:szCs w:val="24"/>
        </w:rPr>
      </w:pPr>
      <w:r w:rsidRPr="00233669">
        <w:rPr>
          <w:rFonts w:ascii="Bookman Old Style" w:hAnsi="Bookman Old Style" w:cs="Times New Roman"/>
          <w:i/>
          <w:iCs/>
          <w:sz w:val="24"/>
          <w:szCs w:val="24"/>
        </w:rPr>
        <w:t>“Contravienen especialmente el principio de la probidad administrativa, las siguientes conductas:</w:t>
      </w:r>
    </w:p>
    <w:p w:rsidR="0060684D" w:rsidRPr="00233669" w:rsidRDefault="0060684D" w:rsidP="001E0967">
      <w:pPr>
        <w:ind w:left="360" w:right="-279"/>
        <w:jc w:val="both"/>
        <w:rPr>
          <w:rFonts w:ascii="Bookman Old Style" w:hAnsi="Bookman Old Style" w:cs="Times New Roman"/>
          <w:i/>
          <w:iCs/>
          <w:sz w:val="24"/>
          <w:szCs w:val="24"/>
        </w:rPr>
      </w:pPr>
    </w:p>
    <w:p w:rsidR="0060684D" w:rsidRPr="00233669" w:rsidRDefault="0060684D" w:rsidP="001E0967">
      <w:pPr>
        <w:ind w:left="1440" w:right="-279"/>
        <w:jc w:val="both"/>
        <w:rPr>
          <w:rFonts w:ascii="Bookman Old Style" w:hAnsi="Bookman Old Style" w:cs="Times New Roman"/>
          <w:i/>
          <w:iCs/>
          <w:sz w:val="24"/>
          <w:szCs w:val="24"/>
        </w:rPr>
      </w:pPr>
      <w:r w:rsidRPr="00233669">
        <w:rPr>
          <w:rFonts w:ascii="Bookman Old Style" w:hAnsi="Bookman Old Style" w:cs="Times New Roman"/>
          <w:i/>
          <w:iCs/>
          <w:sz w:val="24"/>
          <w:szCs w:val="24"/>
        </w:rPr>
        <w:t xml:space="preserve">1. Usar en beneficio propio o de terceros la información reservada o privilegiada a que se tuviere acceso en razón de la función pública </w:t>
      </w:r>
      <w:r w:rsidR="00B228BF">
        <w:rPr>
          <w:rFonts w:ascii="Bookman Old Style" w:hAnsi="Bookman Old Style" w:cs="Times New Roman"/>
          <w:i/>
          <w:iCs/>
          <w:sz w:val="24"/>
          <w:szCs w:val="24"/>
        </w:rPr>
        <w:t xml:space="preserve">  </w:t>
      </w:r>
      <w:r w:rsidRPr="00233669">
        <w:rPr>
          <w:rFonts w:ascii="Bookman Old Style" w:hAnsi="Bookman Old Style" w:cs="Times New Roman"/>
          <w:i/>
          <w:iCs/>
          <w:sz w:val="24"/>
          <w:szCs w:val="24"/>
        </w:rPr>
        <w:t>que se desempeña;</w:t>
      </w:r>
    </w:p>
    <w:p w:rsidR="0060684D" w:rsidRPr="00233669" w:rsidRDefault="0060684D" w:rsidP="001E0967">
      <w:pPr>
        <w:ind w:left="1440" w:right="-279"/>
        <w:jc w:val="both"/>
        <w:rPr>
          <w:rFonts w:ascii="Bookman Old Style" w:hAnsi="Bookman Old Style" w:cs="Times New Roman"/>
          <w:i/>
          <w:iCs/>
          <w:sz w:val="24"/>
          <w:szCs w:val="24"/>
        </w:rPr>
      </w:pPr>
    </w:p>
    <w:p w:rsidR="0060684D" w:rsidRPr="00233669" w:rsidRDefault="0060684D" w:rsidP="001E0967">
      <w:pPr>
        <w:ind w:left="1440" w:right="-279"/>
        <w:jc w:val="both"/>
        <w:rPr>
          <w:rFonts w:ascii="Bookman Old Style" w:hAnsi="Bookman Old Style" w:cs="Times New Roman"/>
          <w:i/>
          <w:iCs/>
          <w:sz w:val="24"/>
          <w:szCs w:val="24"/>
        </w:rPr>
      </w:pPr>
      <w:r w:rsidRPr="00233669">
        <w:rPr>
          <w:rFonts w:ascii="Bookman Old Style" w:hAnsi="Bookman Old Style" w:cs="Times New Roman"/>
          <w:i/>
          <w:iCs/>
          <w:sz w:val="24"/>
          <w:szCs w:val="24"/>
        </w:rPr>
        <w:t xml:space="preserve">2. Hacer valer indebidamente la posición funcionaria para influir </w:t>
      </w:r>
      <w:r w:rsidR="00B228BF">
        <w:rPr>
          <w:rFonts w:ascii="Bookman Old Style" w:hAnsi="Bookman Old Style" w:cs="Times New Roman"/>
          <w:i/>
          <w:iCs/>
          <w:sz w:val="24"/>
          <w:szCs w:val="24"/>
        </w:rPr>
        <w:t xml:space="preserve">  </w:t>
      </w:r>
      <w:r w:rsidRPr="00233669">
        <w:rPr>
          <w:rFonts w:ascii="Bookman Old Style" w:hAnsi="Bookman Old Style" w:cs="Times New Roman"/>
          <w:i/>
          <w:iCs/>
          <w:sz w:val="24"/>
          <w:szCs w:val="24"/>
        </w:rPr>
        <w:t>sobre una persona con el objeto de conseguir un beneficio directo o indirecto para sí o para un tercero;</w:t>
      </w:r>
    </w:p>
    <w:p w:rsidR="0060684D" w:rsidRPr="00233669" w:rsidRDefault="0060684D" w:rsidP="001E0967">
      <w:pPr>
        <w:ind w:left="1440" w:right="-279"/>
        <w:jc w:val="both"/>
        <w:rPr>
          <w:rFonts w:ascii="Bookman Old Style" w:hAnsi="Bookman Old Style" w:cs="Times New Roman"/>
          <w:i/>
          <w:iCs/>
          <w:sz w:val="24"/>
          <w:szCs w:val="24"/>
        </w:rPr>
      </w:pPr>
    </w:p>
    <w:p w:rsidR="0060684D" w:rsidRPr="00233669" w:rsidRDefault="0060684D" w:rsidP="001E0967">
      <w:pPr>
        <w:ind w:left="1440" w:right="-279"/>
        <w:jc w:val="both"/>
        <w:rPr>
          <w:rFonts w:ascii="Bookman Old Style" w:hAnsi="Bookman Old Style" w:cs="Times New Roman"/>
          <w:i/>
          <w:iCs/>
          <w:sz w:val="24"/>
          <w:szCs w:val="24"/>
        </w:rPr>
      </w:pPr>
      <w:r w:rsidRPr="00233669">
        <w:rPr>
          <w:rFonts w:ascii="Bookman Old Style" w:hAnsi="Bookman Old Style" w:cs="Times New Roman"/>
          <w:i/>
          <w:iCs/>
          <w:sz w:val="24"/>
          <w:szCs w:val="24"/>
        </w:rPr>
        <w:t>3. Emplear, bajo cualquier forma, dinero o bienes de la institución, en provecho propio o de terceros;</w:t>
      </w:r>
    </w:p>
    <w:p w:rsidR="0060684D" w:rsidRPr="00233669" w:rsidRDefault="0060684D" w:rsidP="001E0967">
      <w:pPr>
        <w:ind w:left="1440" w:right="-279"/>
        <w:jc w:val="both"/>
        <w:rPr>
          <w:rFonts w:ascii="Bookman Old Style" w:hAnsi="Bookman Old Style" w:cs="Times New Roman"/>
          <w:i/>
          <w:iCs/>
          <w:sz w:val="24"/>
          <w:szCs w:val="24"/>
        </w:rPr>
      </w:pPr>
    </w:p>
    <w:p w:rsidR="0060684D" w:rsidRPr="00233669" w:rsidRDefault="0060684D" w:rsidP="001E0967">
      <w:pPr>
        <w:ind w:left="1440" w:right="-279"/>
        <w:jc w:val="both"/>
        <w:rPr>
          <w:rFonts w:ascii="Bookman Old Style" w:hAnsi="Bookman Old Style" w:cs="Times New Roman"/>
          <w:i/>
          <w:iCs/>
          <w:sz w:val="24"/>
          <w:szCs w:val="24"/>
        </w:rPr>
      </w:pPr>
      <w:r w:rsidRPr="00233669">
        <w:rPr>
          <w:rFonts w:ascii="Bookman Old Style" w:hAnsi="Bookman Old Style" w:cs="Times New Roman"/>
          <w:i/>
          <w:iCs/>
          <w:sz w:val="24"/>
          <w:szCs w:val="24"/>
        </w:rPr>
        <w:t>4. Ejecutar actividades, ocupar</w:t>
      </w:r>
      <w:r w:rsidRPr="00233669">
        <w:rPr>
          <w:rFonts w:ascii="Bookman Old Style" w:hAnsi="Bookman Old Style" w:cs="Times New Roman"/>
          <w:b/>
          <w:i/>
          <w:iCs/>
          <w:sz w:val="24"/>
          <w:szCs w:val="24"/>
        </w:rPr>
        <w:t xml:space="preserve"> </w:t>
      </w:r>
      <w:r w:rsidRPr="00233669">
        <w:rPr>
          <w:rFonts w:ascii="Bookman Old Style" w:hAnsi="Bookman Old Style" w:cs="Times New Roman"/>
          <w:i/>
          <w:iCs/>
          <w:sz w:val="24"/>
          <w:szCs w:val="24"/>
        </w:rPr>
        <w:t>tiempo de la jornada de trabajo o utilizar personal o recursos del organismo en beneficio propio o para fines ajenos a los institucionales;</w:t>
      </w:r>
    </w:p>
    <w:p w:rsidR="0060684D" w:rsidRPr="00233669" w:rsidRDefault="0060684D" w:rsidP="001E0967">
      <w:pPr>
        <w:ind w:left="1440" w:right="-279"/>
        <w:jc w:val="both"/>
        <w:rPr>
          <w:rFonts w:ascii="Bookman Old Style" w:hAnsi="Bookman Old Style" w:cs="Times New Roman"/>
          <w:i/>
          <w:iCs/>
          <w:sz w:val="24"/>
          <w:szCs w:val="24"/>
        </w:rPr>
      </w:pPr>
    </w:p>
    <w:p w:rsidR="0060684D" w:rsidRPr="00233669" w:rsidRDefault="0060684D" w:rsidP="001E0967">
      <w:pPr>
        <w:ind w:left="1440" w:right="-279"/>
        <w:jc w:val="both"/>
        <w:rPr>
          <w:rFonts w:ascii="Bookman Old Style" w:hAnsi="Bookman Old Style" w:cs="Times New Roman"/>
          <w:i/>
          <w:iCs/>
          <w:sz w:val="24"/>
          <w:szCs w:val="24"/>
        </w:rPr>
      </w:pPr>
      <w:r w:rsidRPr="00233669">
        <w:rPr>
          <w:rFonts w:ascii="Bookman Old Style" w:hAnsi="Bookman Old Style" w:cs="Times New Roman"/>
          <w:i/>
          <w:iCs/>
          <w:sz w:val="24"/>
          <w:szCs w:val="24"/>
        </w:rPr>
        <w:lastRenderedPageBreak/>
        <w:t xml:space="preserve">5. Solicitar, hacerse prometer o aceptar, en razón del cargo o función, para sí o para terceros, donativos, ventajas o privilegios de cualquier naturaleza. </w:t>
      </w:r>
    </w:p>
    <w:p w:rsidR="0060684D" w:rsidRPr="00233669" w:rsidRDefault="0060684D" w:rsidP="001E0967">
      <w:pPr>
        <w:ind w:left="1440" w:right="-279"/>
        <w:jc w:val="both"/>
        <w:rPr>
          <w:rFonts w:ascii="Bookman Old Style" w:hAnsi="Bookman Old Style" w:cs="Times New Roman"/>
          <w:i/>
          <w:iCs/>
          <w:sz w:val="24"/>
          <w:szCs w:val="24"/>
        </w:rPr>
      </w:pPr>
    </w:p>
    <w:p w:rsidR="0060684D" w:rsidRPr="00233669" w:rsidRDefault="0060684D" w:rsidP="001E0967">
      <w:pPr>
        <w:ind w:left="1440" w:right="-279"/>
        <w:jc w:val="both"/>
        <w:rPr>
          <w:rFonts w:ascii="Bookman Old Style" w:hAnsi="Bookman Old Style" w:cs="Times New Roman"/>
          <w:i/>
          <w:iCs/>
          <w:sz w:val="24"/>
          <w:szCs w:val="24"/>
        </w:rPr>
      </w:pPr>
      <w:proofErr w:type="spellStart"/>
      <w:r w:rsidRPr="00233669">
        <w:rPr>
          <w:rFonts w:ascii="Bookman Old Style" w:hAnsi="Bookman Old Style" w:cs="Times New Roman"/>
          <w:i/>
          <w:iCs/>
          <w:sz w:val="24"/>
          <w:szCs w:val="24"/>
        </w:rPr>
        <w:t>Exceptúanse</w:t>
      </w:r>
      <w:proofErr w:type="spellEnd"/>
      <w:r w:rsidRPr="00233669">
        <w:rPr>
          <w:rFonts w:ascii="Bookman Old Style" w:hAnsi="Bookman Old Style" w:cs="Times New Roman"/>
          <w:i/>
          <w:iCs/>
          <w:sz w:val="24"/>
          <w:szCs w:val="24"/>
        </w:rPr>
        <w:t xml:space="preserve"> de esta prohibición los donativos oficiales y </w:t>
      </w:r>
      <w:r w:rsidR="00B228BF">
        <w:rPr>
          <w:rFonts w:ascii="Bookman Old Style" w:hAnsi="Bookman Old Style" w:cs="Times New Roman"/>
          <w:i/>
          <w:iCs/>
          <w:sz w:val="24"/>
          <w:szCs w:val="24"/>
        </w:rPr>
        <w:t xml:space="preserve">  </w:t>
      </w:r>
      <w:r w:rsidRPr="00233669">
        <w:rPr>
          <w:rFonts w:ascii="Bookman Old Style" w:hAnsi="Bookman Old Style" w:cs="Times New Roman"/>
          <w:i/>
          <w:iCs/>
          <w:sz w:val="24"/>
          <w:szCs w:val="24"/>
        </w:rPr>
        <w:t xml:space="preserve">protocolares, y aquellos que autoriza la costumbre como manifestaciones de cortesía y buena educación. </w:t>
      </w:r>
    </w:p>
    <w:p w:rsidR="0060684D" w:rsidRPr="00233669" w:rsidRDefault="0060684D" w:rsidP="001E0967">
      <w:pPr>
        <w:ind w:left="1440" w:right="-279"/>
        <w:jc w:val="both"/>
        <w:rPr>
          <w:rFonts w:ascii="Bookman Old Style" w:hAnsi="Bookman Old Style" w:cs="Times New Roman"/>
          <w:i/>
          <w:iCs/>
          <w:sz w:val="24"/>
          <w:szCs w:val="24"/>
        </w:rPr>
      </w:pPr>
    </w:p>
    <w:p w:rsidR="0060684D" w:rsidRPr="00233669" w:rsidRDefault="0060684D" w:rsidP="001E0967">
      <w:pPr>
        <w:ind w:left="1440" w:right="-279"/>
        <w:jc w:val="both"/>
        <w:rPr>
          <w:rFonts w:ascii="Bookman Old Style" w:hAnsi="Bookman Old Style" w:cs="Times New Roman"/>
          <w:i/>
          <w:iCs/>
          <w:sz w:val="24"/>
          <w:szCs w:val="24"/>
        </w:rPr>
      </w:pPr>
      <w:r w:rsidRPr="00233669">
        <w:rPr>
          <w:rFonts w:ascii="Bookman Old Style" w:hAnsi="Bookman Old Style" w:cs="Times New Roman"/>
          <w:i/>
          <w:iCs/>
          <w:sz w:val="24"/>
          <w:szCs w:val="24"/>
        </w:rPr>
        <w:t>El millaje u otro beneficio similar que otorguen las líneas aéreas por vuelos nacionales o internacionales a los que viajen como autoridades o funcionarios, y que sean financiados con recursos públicos, no podrán ser utilizados en actividades o viajes particulares;</w:t>
      </w:r>
    </w:p>
    <w:p w:rsidR="0060684D" w:rsidRPr="00233669" w:rsidRDefault="0060684D" w:rsidP="001E0967">
      <w:pPr>
        <w:ind w:left="1440" w:right="-279"/>
        <w:jc w:val="both"/>
        <w:rPr>
          <w:rFonts w:ascii="Bookman Old Style" w:hAnsi="Bookman Old Style" w:cs="Times New Roman"/>
          <w:i/>
          <w:iCs/>
          <w:sz w:val="24"/>
          <w:szCs w:val="24"/>
        </w:rPr>
      </w:pPr>
    </w:p>
    <w:p w:rsidR="0060684D" w:rsidRPr="00233669" w:rsidRDefault="0060684D" w:rsidP="001E0967">
      <w:pPr>
        <w:ind w:left="1440" w:right="-279"/>
        <w:jc w:val="both"/>
        <w:rPr>
          <w:rFonts w:ascii="Bookman Old Style" w:hAnsi="Bookman Old Style" w:cs="Times New Roman"/>
          <w:i/>
          <w:iCs/>
          <w:sz w:val="24"/>
          <w:szCs w:val="24"/>
        </w:rPr>
      </w:pPr>
      <w:r w:rsidRPr="00233669">
        <w:rPr>
          <w:rFonts w:ascii="Bookman Old Style" w:hAnsi="Bookman Old Style" w:cs="Times New Roman"/>
          <w:i/>
          <w:iCs/>
          <w:sz w:val="24"/>
          <w:szCs w:val="24"/>
        </w:rPr>
        <w:t xml:space="preserve">6. Intervenir, en razón de las funciones, en asuntos en que se tenga interés personal o en que lo tengan el cónyuge, hijos, adoptados o parientes hasta el tercer grado de consanguinidad y segundo de afinidad inclusive. </w:t>
      </w:r>
    </w:p>
    <w:p w:rsidR="0060684D" w:rsidRPr="00233669" w:rsidRDefault="0060684D" w:rsidP="001E0967">
      <w:pPr>
        <w:ind w:left="1440" w:right="-279"/>
        <w:jc w:val="both"/>
        <w:rPr>
          <w:rFonts w:ascii="Bookman Old Style" w:hAnsi="Bookman Old Style" w:cs="Times New Roman"/>
          <w:i/>
          <w:iCs/>
          <w:sz w:val="24"/>
          <w:szCs w:val="24"/>
        </w:rPr>
      </w:pPr>
    </w:p>
    <w:p w:rsidR="0060684D" w:rsidRPr="00233669" w:rsidRDefault="0060684D" w:rsidP="001E0967">
      <w:pPr>
        <w:ind w:left="1440" w:right="-279"/>
        <w:jc w:val="both"/>
        <w:rPr>
          <w:rFonts w:ascii="Bookman Old Style" w:hAnsi="Bookman Old Style" w:cs="Times New Roman"/>
          <w:i/>
          <w:iCs/>
          <w:sz w:val="24"/>
          <w:szCs w:val="24"/>
        </w:rPr>
      </w:pPr>
      <w:r w:rsidRPr="00233669">
        <w:rPr>
          <w:rFonts w:ascii="Bookman Old Style" w:hAnsi="Bookman Old Style" w:cs="Times New Roman"/>
          <w:i/>
          <w:iCs/>
          <w:sz w:val="24"/>
          <w:szCs w:val="24"/>
        </w:rPr>
        <w:t>Asimismo, participar en decisiones en que exista cualquier circunstancia que le reste imparcialidad. Las autoridades y funcionarios deberán abstenerse de participar en estos asuntos, debiendo poner en conocimiento de su superior jerárquico la implicancia que les afecta;</w:t>
      </w:r>
    </w:p>
    <w:p w:rsidR="0060684D" w:rsidRPr="00233669" w:rsidRDefault="0060684D" w:rsidP="001E0967">
      <w:pPr>
        <w:ind w:left="1440" w:right="-279"/>
        <w:jc w:val="both"/>
        <w:rPr>
          <w:rFonts w:ascii="Bookman Old Style" w:hAnsi="Bookman Old Style" w:cs="Times New Roman"/>
          <w:i/>
          <w:iCs/>
          <w:sz w:val="24"/>
          <w:szCs w:val="24"/>
        </w:rPr>
      </w:pPr>
    </w:p>
    <w:p w:rsidR="0060684D" w:rsidRPr="00233669" w:rsidRDefault="0060684D" w:rsidP="001E0967">
      <w:pPr>
        <w:ind w:left="1440" w:right="-279"/>
        <w:jc w:val="both"/>
        <w:rPr>
          <w:rFonts w:ascii="Bookman Old Style" w:hAnsi="Bookman Old Style" w:cs="Times New Roman"/>
          <w:i/>
          <w:iCs/>
          <w:sz w:val="24"/>
          <w:szCs w:val="24"/>
        </w:rPr>
      </w:pPr>
      <w:r w:rsidRPr="00233669">
        <w:rPr>
          <w:rFonts w:ascii="Bookman Old Style" w:hAnsi="Bookman Old Style" w:cs="Times New Roman"/>
          <w:i/>
          <w:iCs/>
          <w:sz w:val="24"/>
          <w:szCs w:val="24"/>
        </w:rPr>
        <w:t>7. Omitir o eludir la propuesta pública en los casos que la ley la disponga;</w:t>
      </w:r>
    </w:p>
    <w:p w:rsidR="0060684D" w:rsidRPr="00233669" w:rsidRDefault="0060684D" w:rsidP="001E0967">
      <w:pPr>
        <w:ind w:left="1440" w:right="-279"/>
        <w:jc w:val="both"/>
        <w:rPr>
          <w:rFonts w:ascii="Bookman Old Style" w:hAnsi="Bookman Old Style" w:cs="Times New Roman"/>
          <w:i/>
          <w:iCs/>
          <w:sz w:val="24"/>
          <w:szCs w:val="24"/>
        </w:rPr>
      </w:pPr>
    </w:p>
    <w:p w:rsidR="0060684D" w:rsidRPr="00233669" w:rsidRDefault="0060684D" w:rsidP="001E0967">
      <w:pPr>
        <w:ind w:left="1440" w:right="-279"/>
        <w:jc w:val="both"/>
        <w:rPr>
          <w:rFonts w:ascii="Bookman Old Style" w:hAnsi="Bookman Old Style" w:cs="Times New Roman"/>
          <w:i/>
          <w:iCs/>
          <w:sz w:val="24"/>
          <w:szCs w:val="24"/>
        </w:rPr>
      </w:pPr>
      <w:r w:rsidRPr="00233669">
        <w:rPr>
          <w:rFonts w:ascii="Bookman Old Style" w:hAnsi="Bookman Old Style" w:cs="Times New Roman"/>
          <w:i/>
          <w:iCs/>
          <w:sz w:val="24"/>
          <w:szCs w:val="24"/>
        </w:rPr>
        <w:t xml:space="preserve">8. Contravenir los deberes de eficiencia, eficacia y legalidad que rigen el desempeño de los cargos públicos, con grave entorpecimiento del servicio o del ejercicio de los derechos ciudadanos ante la Administración, y </w:t>
      </w:r>
    </w:p>
    <w:p w:rsidR="0060684D" w:rsidRPr="00233669" w:rsidRDefault="0060684D" w:rsidP="001E0967">
      <w:pPr>
        <w:ind w:left="1440" w:right="-279"/>
        <w:jc w:val="both"/>
        <w:rPr>
          <w:rFonts w:ascii="Bookman Old Style" w:hAnsi="Bookman Old Style" w:cs="Times New Roman"/>
          <w:i/>
          <w:iCs/>
          <w:sz w:val="24"/>
          <w:szCs w:val="24"/>
        </w:rPr>
      </w:pPr>
    </w:p>
    <w:p w:rsidR="0060684D" w:rsidRPr="00233669" w:rsidRDefault="0060684D" w:rsidP="001E0967">
      <w:pPr>
        <w:ind w:left="1440" w:right="-279"/>
        <w:jc w:val="both"/>
        <w:rPr>
          <w:rFonts w:ascii="Bookman Old Style" w:hAnsi="Bookman Old Style" w:cs="Times New Roman"/>
          <w:i/>
          <w:iCs/>
          <w:sz w:val="24"/>
          <w:szCs w:val="24"/>
        </w:rPr>
      </w:pPr>
      <w:r w:rsidRPr="00233669">
        <w:rPr>
          <w:rFonts w:ascii="Bookman Old Style" w:hAnsi="Bookman Old Style" w:cs="Times New Roman"/>
          <w:i/>
          <w:iCs/>
          <w:sz w:val="24"/>
          <w:szCs w:val="24"/>
        </w:rPr>
        <w:t>9. Efectuar denuncias de irregularidades o de faltas al principio de probidad de las que haya afirmado tener conocimiento, sin fundamento y respecto de las cuales se constatare su falsedad o el ánimo deliberado de perjudicar al denunciado.”</w:t>
      </w:r>
    </w:p>
    <w:p w:rsidR="0060684D" w:rsidRPr="00233669" w:rsidRDefault="0060684D" w:rsidP="001E0967">
      <w:pPr>
        <w:ind w:left="1440" w:right="-279"/>
        <w:jc w:val="both"/>
        <w:rPr>
          <w:rFonts w:ascii="Bookman Old Style" w:hAnsi="Bookman Old Style" w:cs="Times New Roman"/>
          <w:sz w:val="24"/>
          <w:szCs w:val="24"/>
        </w:rPr>
      </w:pPr>
    </w:p>
    <w:p w:rsidR="0060684D" w:rsidRDefault="0060684D" w:rsidP="001E0967">
      <w:pPr>
        <w:ind w:right="-279"/>
        <w:jc w:val="both"/>
        <w:rPr>
          <w:rFonts w:ascii="Bookman Old Style" w:hAnsi="Bookman Old Style" w:cs="Times New Roman"/>
          <w:b/>
          <w:sz w:val="24"/>
          <w:szCs w:val="24"/>
        </w:rPr>
      </w:pPr>
    </w:p>
    <w:p w:rsidR="0060684D" w:rsidRPr="00233669" w:rsidRDefault="0060684D" w:rsidP="001E0967">
      <w:pPr>
        <w:ind w:right="-279"/>
        <w:jc w:val="both"/>
        <w:rPr>
          <w:rFonts w:ascii="Bookman Old Style" w:hAnsi="Bookman Old Style" w:cs="Times New Roman"/>
          <w:b/>
          <w:sz w:val="24"/>
          <w:szCs w:val="24"/>
        </w:rPr>
      </w:pPr>
    </w:p>
    <w:p w:rsidR="0060684D" w:rsidRPr="00233669" w:rsidRDefault="0060684D" w:rsidP="001E0967">
      <w:pPr>
        <w:numPr>
          <w:ilvl w:val="0"/>
          <w:numId w:val="1"/>
        </w:numPr>
        <w:ind w:right="-279"/>
        <w:jc w:val="both"/>
        <w:rPr>
          <w:rFonts w:ascii="Bookman Old Style" w:hAnsi="Bookman Old Style" w:cs="Times New Roman"/>
          <w:b/>
          <w:sz w:val="24"/>
          <w:szCs w:val="24"/>
        </w:rPr>
      </w:pPr>
      <w:r w:rsidRPr="00233669">
        <w:rPr>
          <w:rFonts w:ascii="Bookman Old Style" w:hAnsi="Bookman Old Style" w:cs="Times New Roman"/>
          <w:b/>
          <w:sz w:val="24"/>
          <w:szCs w:val="24"/>
        </w:rPr>
        <w:t>OBJETIVO.</w:t>
      </w: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cs="Times New Roman"/>
          <w:sz w:val="24"/>
          <w:szCs w:val="24"/>
        </w:rPr>
      </w:pPr>
      <w:r w:rsidRPr="00233669">
        <w:rPr>
          <w:rFonts w:ascii="Bookman Old Style" w:hAnsi="Bookman Old Style" w:cs="Times New Roman"/>
          <w:sz w:val="24"/>
          <w:szCs w:val="24"/>
        </w:rPr>
        <w:t xml:space="preserve">El presente proyecto de ley busca fortalecer el principio de probidad administrativa ofreciendo garantías equivalentes a las que consagró la Ley N° 20.205 con las particularidades de la carrera militar regido por el DFL </w:t>
      </w:r>
      <w:r w:rsidRPr="00233669">
        <w:rPr>
          <w:rFonts w:ascii="Bookman Old Style" w:hAnsi="Bookman Old Style" w:cs="Times New Roman"/>
          <w:sz w:val="24"/>
          <w:szCs w:val="24"/>
          <w:highlight w:val="white"/>
        </w:rPr>
        <w:t>(G) Nº 1, de 1997, del Ministerio de Defensa Nacional, "Estatuto del Personal de las Fuerzas Armadas</w:t>
      </w:r>
      <w:r w:rsidRPr="00233669">
        <w:rPr>
          <w:rFonts w:ascii="Bookman Old Style" w:hAnsi="Bookman Old Style" w:cs="Times New Roman"/>
          <w:sz w:val="24"/>
          <w:szCs w:val="24"/>
        </w:rPr>
        <w:t xml:space="preserve">". Se contribuye de esta manera a la transparencia, probidad y ética pública, estableciendo, al interior de las FF.AA., un mecanismo que permita efectuar denuncias fundadas a quienes tomen conocimiento de hechos que atenten contra la probidad, asegurando que quedarán protegidos frente </w:t>
      </w:r>
      <w:r w:rsidRPr="00233669">
        <w:rPr>
          <w:rFonts w:ascii="Bookman Old Style" w:hAnsi="Bookman Old Style" w:cs="Times New Roman"/>
          <w:sz w:val="24"/>
          <w:szCs w:val="24"/>
        </w:rPr>
        <w:lastRenderedPageBreak/>
        <w:t xml:space="preserve">eventuales represalias, con los resguardos necesarios para que el sistema no sea mal utilizado para atender intereses personales por sobre los de probidad pública que es el valor que se busca proteger y promocionar. </w:t>
      </w: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ind w:right="-279"/>
        <w:rPr>
          <w:rFonts w:ascii="Bookman Old Style" w:hAnsi="Bookman Old Style" w:cs="Times New Roman"/>
          <w:sz w:val="24"/>
          <w:szCs w:val="24"/>
        </w:rPr>
      </w:pPr>
      <w:r w:rsidRPr="00233669">
        <w:rPr>
          <w:rFonts w:ascii="Bookman Old Style" w:hAnsi="Bookman Old Style" w:cs="Times New Roman"/>
          <w:b/>
          <w:sz w:val="24"/>
          <w:szCs w:val="24"/>
        </w:rPr>
        <w:t>III. CONTENIDO DEL PROYECTO.</w:t>
      </w:r>
    </w:p>
    <w:p w:rsidR="0060684D" w:rsidRPr="00233669" w:rsidRDefault="0060684D" w:rsidP="001E0967">
      <w:pPr>
        <w:ind w:right="-279"/>
        <w:jc w:val="both"/>
        <w:rPr>
          <w:rFonts w:ascii="Bookman Old Style" w:hAnsi="Bookman Old Style" w:cs="Times New Roman"/>
          <w:b/>
          <w:sz w:val="24"/>
          <w:szCs w:val="24"/>
        </w:rPr>
      </w:pPr>
    </w:p>
    <w:p w:rsidR="0060684D" w:rsidRPr="00233669" w:rsidRDefault="0060684D" w:rsidP="001E0967">
      <w:pPr>
        <w:ind w:right="-279"/>
        <w:jc w:val="both"/>
        <w:rPr>
          <w:rFonts w:ascii="Bookman Old Style" w:hAnsi="Bookman Old Style" w:cs="Times New Roman"/>
          <w:b/>
          <w:sz w:val="24"/>
          <w:szCs w:val="24"/>
        </w:rPr>
      </w:pPr>
      <w:r w:rsidRPr="00233669">
        <w:rPr>
          <w:rFonts w:ascii="Bookman Old Style" w:hAnsi="Bookman Old Style" w:cs="Times New Roman"/>
          <w:sz w:val="24"/>
          <w:szCs w:val="24"/>
        </w:rPr>
        <w:t xml:space="preserve">La moción que presentamos considera un proceso de denuncia siguiendo la cadena de mando, subiendo un grado en el caso de que el superior pudiere estar involucrado y, en paralelo, una notificación de la misma denuncia del Director de Personal de la Institución quien ejercerá la supervigilancia del procedimiento iniciado, pudiendo controlar las consecuencias de su resultado e informando, mensualmente, al Comandante en Jefe de la respectiva institución. Se propone un articulado nuevo que se integra al DFL N°1 de 1997 “Estatuto del Personal de las Fuerzas Armadas”, con el objeto de establecer la obligación de todo </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integrante de las Fuerzas Armadas de denunciar las infracciones al principio de la probidad administrativa, disponer el funcionamiento de un sistema de recepción y tratamiento de las denuncias que, sin romper la cadena de mando, ofrezca las garantías procedimentales y materiales al denunciante y las responsabilidades frente a posibles denuncias falsas o infundadas.</w:t>
      </w:r>
    </w:p>
    <w:p w:rsidR="0060684D" w:rsidRPr="00233669" w:rsidRDefault="0060684D" w:rsidP="001E0967">
      <w:pPr>
        <w:ind w:right="-279"/>
        <w:jc w:val="both"/>
        <w:rPr>
          <w:rFonts w:ascii="Bookman Old Style" w:hAnsi="Bookman Old Style" w:cs="Times New Roman"/>
          <w:sz w:val="24"/>
          <w:szCs w:val="24"/>
          <w:highlight w:val="white"/>
        </w:rPr>
      </w:pPr>
    </w:p>
    <w:p w:rsidR="0060684D" w:rsidRPr="00233669" w:rsidRDefault="0060684D" w:rsidP="001E0967">
      <w:pPr>
        <w:ind w:right="-279"/>
        <w:jc w:val="both"/>
        <w:rPr>
          <w:rFonts w:ascii="Bookman Old Style" w:hAnsi="Bookman Old Style" w:cs="Times New Roman"/>
          <w:sz w:val="24"/>
          <w:szCs w:val="24"/>
          <w:highlight w:val="white"/>
        </w:rPr>
      </w:pPr>
    </w:p>
    <w:p w:rsidR="0060684D" w:rsidRPr="00233669" w:rsidRDefault="0060684D" w:rsidP="001E0967">
      <w:pPr>
        <w:ind w:right="-279"/>
        <w:rPr>
          <w:rFonts w:ascii="Bookman Old Style" w:hAnsi="Bookman Old Style" w:cs="Times New Roman"/>
          <w:b/>
          <w:sz w:val="24"/>
          <w:szCs w:val="24"/>
        </w:rPr>
      </w:pPr>
      <w:r w:rsidRPr="00233669">
        <w:rPr>
          <w:rFonts w:ascii="Bookman Old Style" w:hAnsi="Bookman Old Style" w:cs="Times New Roman"/>
          <w:b/>
          <w:sz w:val="24"/>
          <w:szCs w:val="24"/>
        </w:rPr>
        <w:t>IV. PROYECTO DE LEY:</w:t>
      </w:r>
    </w:p>
    <w:p w:rsidR="0060684D" w:rsidRPr="00233669" w:rsidRDefault="0060684D" w:rsidP="001E0967">
      <w:pPr>
        <w:ind w:right="-279"/>
        <w:jc w:val="both"/>
        <w:rPr>
          <w:rFonts w:ascii="Bookman Old Style" w:hAnsi="Bookman Old Style" w:cs="Times New Roman"/>
          <w:sz w:val="24"/>
          <w:szCs w:val="24"/>
          <w:highlight w:val="yellow"/>
        </w:rPr>
      </w:pPr>
    </w:p>
    <w:p w:rsidR="0060684D" w:rsidRPr="00233669" w:rsidRDefault="0060684D" w:rsidP="001E0967">
      <w:pPr>
        <w:ind w:right="-279"/>
        <w:jc w:val="both"/>
        <w:rPr>
          <w:rFonts w:ascii="Bookman Old Style" w:hAnsi="Bookman Old Style" w:cs="Times New Roman"/>
          <w:sz w:val="24"/>
          <w:szCs w:val="24"/>
        </w:rPr>
      </w:pPr>
      <w:r w:rsidRPr="00233669">
        <w:rPr>
          <w:rFonts w:ascii="Bookman Old Style" w:hAnsi="Bookman Old Style" w:cs="Times New Roman"/>
          <w:sz w:val="24"/>
          <w:szCs w:val="24"/>
        </w:rPr>
        <w:t>“Artículo Único: Modifíquese el Decreto con Fuerza de Ley (G) N° 1, de 1997 “Estatuto del Personal de las Fuerzas Armadas”, de la siguiente forma:</w:t>
      </w: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pStyle w:val="Prrafodelista"/>
        <w:numPr>
          <w:ilvl w:val="0"/>
          <w:numId w:val="4"/>
        </w:numPr>
        <w:spacing w:line="240" w:lineRule="auto"/>
        <w:ind w:left="567" w:right="-279" w:hanging="567"/>
        <w:contextualSpacing/>
        <w:jc w:val="both"/>
        <w:rPr>
          <w:rFonts w:ascii="Bookman Old Style" w:hAnsi="Bookman Old Style"/>
          <w:sz w:val="24"/>
          <w:szCs w:val="24"/>
        </w:rPr>
      </w:pPr>
      <w:r w:rsidRPr="00233669">
        <w:rPr>
          <w:rFonts w:ascii="Bookman Old Style" w:hAnsi="Bookman Old Style"/>
          <w:sz w:val="24"/>
          <w:szCs w:val="24"/>
        </w:rPr>
        <w:t xml:space="preserve">Agréguese a continuación del artículo 153, el siguiente artículo 153-A </w:t>
      </w:r>
      <w:r w:rsidR="00B228BF">
        <w:rPr>
          <w:rFonts w:ascii="Bookman Old Style" w:hAnsi="Bookman Old Style"/>
          <w:sz w:val="24"/>
          <w:szCs w:val="24"/>
        </w:rPr>
        <w:t xml:space="preserve"> </w:t>
      </w:r>
      <w:r w:rsidRPr="00233669">
        <w:rPr>
          <w:rFonts w:ascii="Bookman Old Style" w:hAnsi="Bookman Old Style"/>
          <w:sz w:val="24"/>
          <w:szCs w:val="24"/>
        </w:rPr>
        <w:t>nuevo:</w:t>
      </w: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cs="Times New Roman"/>
          <w:sz w:val="24"/>
          <w:szCs w:val="24"/>
        </w:rPr>
      </w:pPr>
      <w:r w:rsidRPr="00233669">
        <w:rPr>
          <w:rFonts w:ascii="Bookman Old Style" w:hAnsi="Bookman Old Style" w:cs="Times New Roman"/>
          <w:sz w:val="24"/>
          <w:szCs w:val="24"/>
        </w:rPr>
        <w:t>“</w:t>
      </w:r>
      <w:r w:rsidRPr="00233669">
        <w:rPr>
          <w:rFonts w:ascii="Bookman Old Style" w:hAnsi="Bookman Old Style" w:cs="Times New Roman"/>
          <w:b/>
          <w:sz w:val="24"/>
          <w:szCs w:val="24"/>
        </w:rPr>
        <w:t>Artículo 153-A</w:t>
      </w:r>
      <w:r w:rsidRPr="00233669">
        <w:rPr>
          <w:rFonts w:ascii="Bookman Old Style" w:hAnsi="Bookman Old Style" w:cs="Times New Roman"/>
          <w:sz w:val="24"/>
          <w:szCs w:val="24"/>
        </w:rPr>
        <w:t xml:space="preserve">: Todo el personal que en cualquier calidad integra las Instituciones de las Fuerzas Armadas tiene la obligación de denunciar los hechos contrarios al principio de probidad administrativa de que tome conocimiento en </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el desempeño de sus funciones.</w:t>
      </w: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ind w:right="-279" w:firstLine="708"/>
        <w:jc w:val="both"/>
        <w:rPr>
          <w:rFonts w:ascii="Bookman Old Style" w:hAnsi="Bookman Old Style" w:cs="Times New Roman"/>
          <w:sz w:val="24"/>
          <w:szCs w:val="24"/>
        </w:rPr>
      </w:pPr>
      <w:r w:rsidRPr="00233669">
        <w:rPr>
          <w:rFonts w:ascii="Bookman Old Style" w:hAnsi="Bookman Old Style" w:cs="Times New Roman"/>
          <w:sz w:val="24"/>
          <w:szCs w:val="24"/>
        </w:rPr>
        <w:t>Se consideran hechos que contravienen el principio de la probidad administrativa aquellos a que se refiere el artículo 64 de la Ley N° 18.575.</w:t>
      </w:r>
    </w:p>
    <w:p w:rsidR="0060684D" w:rsidRPr="00233669" w:rsidRDefault="0060684D" w:rsidP="001E0967">
      <w:pPr>
        <w:ind w:right="-279" w:firstLine="708"/>
        <w:jc w:val="both"/>
        <w:rPr>
          <w:rFonts w:ascii="Bookman Old Style" w:hAnsi="Bookman Old Style" w:cs="Times New Roman"/>
          <w:sz w:val="24"/>
          <w:szCs w:val="24"/>
        </w:rPr>
      </w:pPr>
      <w:r w:rsidRPr="00233669">
        <w:rPr>
          <w:rFonts w:ascii="Bookman Old Style" w:hAnsi="Bookman Old Style" w:cs="Times New Roman"/>
          <w:sz w:val="24"/>
          <w:szCs w:val="24"/>
        </w:rPr>
        <w:t xml:space="preserve">Las denuncias que se formulen deberán ser fundadas, firmadas y presentarse a través del medio formal establecido en la respectiva Institución y contener: 1) individualización del denunciante; 2) relación circunstanciada de </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 xml:space="preserve">los hechos que se denuncia y de la o las personas involucradas y de los testigos que pudieren existir, y 3) todo otro antecedente que pudiera servir de </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fundamento a la denuncia y se estime útil para la investigación.</w:t>
      </w:r>
    </w:p>
    <w:p w:rsidR="0060684D" w:rsidRPr="00233669" w:rsidRDefault="0060684D" w:rsidP="001E0967">
      <w:pPr>
        <w:ind w:right="-279"/>
        <w:jc w:val="both"/>
        <w:rPr>
          <w:rFonts w:ascii="Bookman Old Style" w:hAnsi="Bookman Old Style" w:cs="Times New Roman"/>
          <w:strike/>
          <w:sz w:val="24"/>
          <w:szCs w:val="24"/>
        </w:rPr>
      </w:pPr>
    </w:p>
    <w:p w:rsidR="0060684D" w:rsidRPr="00233669" w:rsidRDefault="0060684D" w:rsidP="001E0967">
      <w:pPr>
        <w:ind w:right="-279" w:firstLine="708"/>
        <w:jc w:val="both"/>
        <w:rPr>
          <w:rFonts w:ascii="Bookman Old Style" w:hAnsi="Bookman Old Style" w:cs="Times New Roman"/>
          <w:sz w:val="24"/>
          <w:szCs w:val="24"/>
        </w:rPr>
      </w:pPr>
      <w:r w:rsidRPr="00233669">
        <w:rPr>
          <w:rFonts w:ascii="Bookman Old Style" w:hAnsi="Bookman Old Style" w:cs="Times New Roman"/>
          <w:sz w:val="24"/>
          <w:szCs w:val="24"/>
        </w:rPr>
        <w:t xml:space="preserve">Las denuncias que se formulen en cumplimiento de la obligación establecida en el inciso primero, podrán estar sujetas a reserva de identidad si </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 xml:space="preserve">así lo solicita el denunciante. </w:t>
      </w:r>
    </w:p>
    <w:p w:rsidR="0060684D" w:rsidRPr="00233669" w:rsidRDefault="0060684D" w:rsidP="001E0967">
      <w:pPr>
        <w:ind w:right="-279" w:firstLine="708"/>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sz w:val="24"/>
          <w:szCs w:val="24"/>
        </w:rPr>
      </w:pPr>
      <w:r w:rsidRPr="00233669">
        <w:rPr>
          <w:rFonts w:ascii="Bookman Old Style" w:hAnsi="Bookman Old Style" w:cs="Times New Roman"/>
          <w:sz w:val="24"/>
          <w:szCs w:val="24"/>
        </w:rPr>
        <w:lastRenderedPageBreak/>
        <w:tab/>
        <w:t xml:space="preserve">La presentación de denuncias falsas o evidentemente infundadas será considerada como constitutivo de falta grave a la disciplina que deberá ser sancionada conforme al reglamento de disciplina, hasta la suspensión del empleo, calificación de los servicios, retiro, separación del servicio, deposición </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 xml:space="preserve">del empleo y licenciamiento del servicio en los términos que establezca el Reglamento de Disciplina de las Fuerzas Armadas. Lo anterior es sin perjuicio </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de las responsabilidades penales que pudieran proceder.</w:t>
      </w:r>
    </w:p>
    <w:p w:rsidR="0060684D" w:rsidRPr="00233669" w:rsidRDefault="0060684D" w:rsidP="001E0967">
      <w:pPr>
        <w:pStyle w:val="Prrafodelista"/>
        <w:spacing w:line="240" w:lineRule="auto"/>
        <w:ind w:left="360" w:right="-279"/>
        <w:contextualSpacing/>
        <w:jc w:val="both"/>
        <w:rPr>
          <w:rFonts w:ascii="Bookman Old Style" w:hAnsi="Bookman Old Style"/>
          <w:sz w:val="24"/>
          <w:szCs w:val="24"/>
        </w:rPr>
      </w:pPr>
    </w:p>
    <w:p w:rsidR="0060684D" w:rsidRDefault="0060684D" w:rsidP="001E0967">
      <w:pPr>
        <w:pStyle w:val="Prrafodelista"/>
        <w:spacing w:line="240" w:lineRule="auto"/>
        <w:ind w:right="-279"/>
        <w:jc w:val="both"/>
        <w:rPr>
          <w:rFonts w:ascii="Bookman Old Style" w:hAnsi="Bookman Old Style"/>
          <w:sz w:val="24"/>
          <w:szCs w:val="24"/>
        </w:rPr>
      </w:pPr>
    </w:p>
    <w:p w:rsidR="0060684D" w:rsidRPr="00233669" w:rsidRDefault="0060684D" w:rsidP="001E0967">
      <w:pPr>
        <w:pStyle w:val="Prrafodelista"/>
        <w:spacing w:line="240" w:lineRule="auto"/>
        <w:ind w:right="-279"/>
        <w:jc w:val="both"/>
        <w:rPr>
          <w:rFonts w:ascii="Bookman Old Style" w:hAnsi="Bookman Old Style"/>
          <w:sz w:val="24"/>
          <w:szCs w:val="24"/>
        </w:rPr>
      </w:pPr>
    </w:p>
    <w:p w:rsidR="0060684D" w:rsidRPr="00233669" w:rsidRDefault="0060684D" w:rsidP="001E0967">
      <w:pPr>
        <w:pStyle w:val="Prrafodelista"/>
        <w:numPr>
          <w:ilvl w:val="0"/>
          <w:numId w:val="4"/>
        </w:numPr>
        <w:spacing w:line="240" w:lineRule="auto"/>
        <w:ind w:right="-279" w:hanging="720"/>
        <w:jc w:val="both"/>
        <w:rPr>
          <w:rFonts w:ascii="Bookman Old Style" w:hAnsi="Bookman Old Style"/>
          <w:sz w:val="24"/>
          <w:szCs w:val="24"/>
        </w:rPr>
      </w:pPr>
      <w:r w:rsidRPr="00233669">
        <w:rPr>
          <w:rFonts w:ascii="Bookman Old Style" w:hAnsi="Bookman Old Style"/>
          <w:sz w:val="24"/>
          <w:szCs w:val="24"/>
        </w:rPr>
        <w:t>Agréguese a continuación del artículo 210, el siguiente artículo 210-A nuevo:</w:t>
      </w:r>
    </w:p>
    <w:p w:rsidR="0060684D" w:rsidRPr="00233669" w:rsidRDefault="0060684D" w:rsidP="001E0967">
      <w:pPr>
        <w:ind w:right="-279" w:firstLine="708"/>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cs="Times New Roman"/>
          <w:sz w:val="24"/>
          <w:szCs w:val="24"/>
        </w:rPr>
      </w:pPr>
      <w:r w:rsidRPr="00233669">
        <w:rPr>
          <w:rFonts w:ascii="Bookman Old Style" w:hAnsi="Bookman Old Style" w:cs="Times New Roman"/>
          <w:sz w:val="24"/>
          <w:szCs w:val="24"/>
        </w:rPr>
        <w:t>“</w:t>
      </w:r>
      <w:r w:rsidRPr="00233669">
        <w:rPr>
          <w:rFonts w:ascii="Bookman Old Style" w:hAnsi="Bookman Old Style" w:cs="Times New Roman"/>
          <w:b/>
          <w:sz w:val="24"/>
          <w:szCs w:val="24"/>
        </w:rPr>
        <w:t>Artículo 210-A</w:t>
      </w:r>
      <w:r w:rsidRPr="00233669">
        <w:rPr>
          <w:rFonts w:ascii="Bookman Old Style" w:hAnsi="Bookman Old Style" w:cs="Times New Roman"/>
          <w:sz w:val="24"/>
          <w:szCs w:val="24"/>
        </w:rPr>
        <w:t>: Las Instituciones de las Fuerzas Armadas deberán contar con un sistema de presentación e ingreso de denuncias a través de los cuales se llevará adelante el procedimiento.</w:t>
      </w: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cs="Times New Roman"/>
          <w:sz w:val="24"/>
          <w:szCs w:val="24"/>
        </w:rPr>
      </w:pPr>
      <w:r w:rsidRPr="00233669">
        <w:rPr>
          <w:rFonts w:ascii="Bookman Old Style" w:hAnsi="Bookman Old Style" w:cs="Times New Roman"/>
          <w:sz w:val="24"/>
          <w:szCs w:val="24"/>
        </w:rPr>
        <w:t>La denuncia se presentará al superior jerárquico o</w:t>
      </w:r>
      <w:r w:rsidR="009750DE">
        <w:rPr>
          <w:rFonts w:ascii="Bookman Old Style" w:hAnsi="Bookman Old Style" w:cs="Times New Roman"/>
          <w:sz w:val="24"/>
          <w:szCs w:val="24"/>
        </w:rPr>
        <w:t xml:space="preserve"> mando receptor y ante el escalafó</w:t>
      </w:r>
      <w:r w:rsidRPr="00233669">
        <w:rPr>
          <w:rFonts w:ascii="Bookman Old Style" w:hAnsi="Bookman Old Style" w:cs="Times New Roman"/>
          <w:sz w:val="24"/>
          <w:szCs w:val="24"/>
        </w:rPr>
        <w:t xml:space="preserve">n superior, si se estima que el denunciado o denunciada, forma parte </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de la irregularidad en cuestión. El mando receptor analizará la denuncia y, de cumplir los requisitos establecidos en el artículo 153-A, dispondrá la correspondiente investigación sumaria administrativa a la unidad u organismo competente para ello y supervigilará el desarrollo de la misma.</w:t>
      </w: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cs="Times New Roman"/>
          <w:sz w:val="24"/>
          <w:szCs w:val="24"/>
        </w:rPr>
      </w:pPr>
      <w:r w:rsidRPr="00233669">
        <w:rPr>
          <w:rFonts w:ascii="Bookman Old Style" w:hAnsi="Bookman Old Style" w:cs="Times New Roman"/>
          <w:sz w:val="24"/>
          <w:szCs w:val="24"/>
        </w:rPr>
        <w:t xml:space="preserve">Una copia de la denuncia se entregará ante el </w:t>
      </w:r>
      <w:r w:rsidR="0036336B">
        <w:rPr>
          <w:rFonts w:ascii="Bookman Old Style" w:hAnsi="Bookman Old Style" w:cs="Times New Roman"/>
          <w:sz w:val="24"/>
          <w:szCs w:val="24"/>
        </w:rPr>
        <w:t xml:space="preserve">encargado, </w:t>
      </w:r>
      <w:r w:rsidRPr="00233669">
        <w:rPr>
          <w:rFonts w:ascii="Bookman Old Style" w:hAnsi="Bookman Old Style" w:cs="Times New Roman"/>
          <w:sz w:val="24"/>
          <w:szCs w:val="24"/>
        </w:rPr>
        <w:t xml:space="preserve">quien </w:t>
      </w:r>
      <w:r w:rsidR="0036336B">
        <w:rPr>
          <w:rFonts w:ascii="Bookman Old Style" w:hAnsi="Bookman Old Style" w:cs="Times New Roman"/>
          <w:sz w:val="24"/>
          <w:szCs w:val="24"/>
        </w:rPr>
        <w:t xml:space="preserve">deberá </w:t>
      </w:r>
      <w:r w:rsidRPr="00233669">
        <w:rPr>
          <w:rFonts w:ascii="Bookman Old Style" w:hAnsi="Bookman Old Style" w:cs="Times New Roman"/>
          <w:sz w:val="24"/>
          <w:szCs w:val="24"/>
        </w:rPr>
        <w:t xml:space="preserve">supervigilar el procedimiento constatando la procedencia o improcedencia de la investigación y las medidas de protección adoptadas por el mando del denunciante. El </w:t>
      </w:r>
      <w:r w:rsidR="0036336B">
        <w:rPr>
          <w:rFonts w:ascii="Bookman Old Style" w:hAnsi="Bookman Old Style" w:cs="Times New Roman"/>
          <w:sz w:val="24"/>
          <w:szCs w:val="24"/>
        </w:rPr>
        <w:t xml:space="preserve">encargado </w:t>
      </w:r>
      <w:r w:rsidRPr="00233669">
        <w:rPr>
          <w:rFonts w:ascii="Bookman Old Style" w:hAnsi="Bookman Old Style" w:cs="Times New Roman"/>
          <w:sz w:val="24"/>
          <w:szCs w:val="24"/>
        </w:rPr>
        <w:t xml:space="preserve">de cada institución informará mensualmente a su Comandante en Jefe respecto de la evolución de los procedimientos. </w:t>
      </w:r>
    </w:p>
    <w:p w:rsidR="0060684D" w:rsidRDefault="0060684D" w:rsidP="001E0967">
      <w:pPr>
        <w:ind w:right="-279"/>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pStyle w:val="Prrafodelista"/>
        <w:numPr>
          <w:ilvl w:val="0"/>
          <w:numId w:val="4"/>
        </w:numPr>
        <w:spacing w:line="240" w:lineRule="auto"/>
        <w:ind w:left="567" w:right="-279" w:hanging="567"/>
        <w:contextualSpacing/>
        <w:jc w:val="both"/>
        <w:rPr>
          <w:rFonts w:ascii="Bookman Old Style" w:hAnsi="Bookman Old Style"/>
          <w:sz w:val="24"/>
          <w:szCs w:val="24"/>
        </w:rPr>
      </w:pPr>
      <w:r w:rsidRPr="00233669">
        <w:rPr>
          <w:rFonts w:ascii="Bookman Old Style" w:hAnsi="Bookman Old Style"/>
          <w:sz w:val="24"/>
          <w:szCs w:val="24"/>
        </w:rPr>
        <w:t>Agréguese a continuación del artículo 210-A, el siguiente artículo 210-B nuevo:</w:t>
      </w: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cs="Times New Roman"/>
          <w:sz w:val="24"/>
          <w:szCs w:val="24"/>
        </w:rPr>
      </w:pPr>
      <w:r w:rsidRPr="00233669">
        <w:rPr>
          <w:rFonts w:ascii="Bookman Old Style" w:hAnsi="Bookman Old Style" w:cs="Times New Roman"/>
          <w:sz w:val="24"/>
          <w:szCs w:val="24"/>
        </w:rPr>
        <w:t>“</w:t>
      </w:r>
      <w:r w:rsidRPr="00233669">
        <w:rPr>
          <w:rFonts w:ascii="Bookman Old Style" w:hAnsi="Bookman Old Style" w:cs="Times New Roman"/>
          <w:b/>
          <w:sz w:val="24"/>
          <w:szCs w:val="24"/>
        </w:rPr>
        <w:t>Artículo 210-B</w:t>
      </w:r>
      <w:r w:rsidRPr="00233669">
        <w:rPr>
          <w:rFonts w:ascii="Bookman Old Style" w:hAnsi="Bookman Old Style" w:cs="Times New Roman"/>
          <w:sz w:val="24"/>
          <w:szCs w:val="24"/>
        </w:rPr>
        <w:t xml:space="preserve">: No se podrán adoptar medidas administrativas o </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 xml:space="preserve">disciplinarias respecto del denunciante desde la fecha de la formulación de la denuncia y hasta que la investigación sumaria administrativa a que hubiere </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 xml:space="preserve">dado lugar aquella se encuentre debidamente terminada, a menos que se </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cuente con la aprobación, mediante resolución fundada de</w:t>
      </w:r>
      <w:r w:rsidR="0036336B">
        <w:rPr>
          <w:rFonts w:ascii="Bookman Old Style" w:hAnsi="Bookman Old Style" w:cs="Times New Roman"/>
          <w:sz w:val="24"/>
          <w:szCs w:val="24"/>
        </w:rPr>
        <w:t>l encargado</w:t>
      </w:r>
      <w:r w:rsidRPr="00233669">
        <w:rPr>
          <w:rFonts w:ascii="Bookman Old Style" w:hAnsi="Bookman Old Style" w:cs="Times New Roman"/>
          <w:sz w:val="24"/>
          <w:szCs w:val="24"/>
        </w:rPr>
        <w:t xml:space="preserve"> a</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 xml:space="preserve"> solicitud del mando receptor.</w:t>
      </w: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cs="Times New Roman"/>
          <w:sz w:val="24"/>
          <w:szCs w:val="24"/>
        </w:rPr>
      </w:pPr>
      <w:r w:rsidRPr="00233669">
        <w:rPr>
          <w:rFonts w:ascii="Bookman Old Style" w:hAnsi="Bookman Old Style" w:cs="Times New Roman"/>
          <w:sz w:val="24"/>
          <w:szCs w:val="24"/>
        </w:rPr>
        <w:t>Lo establecido en el inciso precedente, no será aplicable en el caso que el denunciante se hallaré sometido a algún procedimiento disciplinario por falta a</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 xml:space="preserve"> la disciplina, que se hubiere cometido con anterioridad a la fecha de </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formulación de la denuncia, a menos que los procedimientos estén vinculados</w:t>
      </w:r>
      <w:r w:rsidR="00B228BF">
        <w:rPr>
          <w:rFonts w:ascii="Bookman Old Style" w:hAnsi="Bookman Old Style" w:cs="Times New Roman"/>
          <w:sz w:val="24"/>
          <w:szCs w:val="24"/>
        </w:rPr>
        <w:t xml:space="preserve">    </w:t>
      </w:r>
      <w:r w:rsidRPr="00233669">
        <w:rPr>
          <w:rFonts w:ascii="Bookman Old Style" w:hAnsi="Bookman Old Style" w:cs="Times New Roman"/>
          <w:sz w:val="24"/>
          <w:szCs w:val="24"/>
        </w:rPr>
        <w:t xml:space="preserve"> y así lo decida, fundadamente, el </w:t>
      </w:r>
      <w:r w:rsidR="0036336B">
        <w:rPr>
          <w:rFonts w:ascii="Bookman Old Style" w:hAnsi="Bookman Old Style" w:cs="Times New Roman"/>
          <w:sz w:val="24"/>
          <w:szCs w:val="24"/>
        </w:rPr>
        <w:t>encargado</w:t>
      </w:r>
      <w:r w:rsidRPr="00233669">
        <w:rPr>
          <w:rFonts w:ascii="Bookman Old Style" w:hAnsi="Bookman Old Style" w:cs="Times New Roman"/>
          <w:sz w:val="24"/>
          <w:szCs w:val="24"/>
        </w:rPr>
        <w:t>.</w:t>
      </w:r>
    </w:p>
    <w:p w:rsidR="0060684D" w:rsidRPr="00233669" w:rsidRDefault="0060684D" w:rsidP="001E0967">
      <w:pPr>
        <w:ind w:right="-279"/>
        <w:jc w:val="both"/>
        <w:rPr>
          <w:rFonts w:ascii="Bookman Old Style" w:hAnsi="Bookman Old Style" w:cs="Times New Roman"/>
          <w:sz w:val="24"/>
          <w:szCs w:val="24"/>
        </w:rPr>
      </w:pPr>
    </w:p>
    <w:p w:rsidR="00251482" w:rsidRDefault="00251482" w:rsidP="001E0967">
      <w:pPr>
        <w:ind w:right="-279"/>
        <w:jc w:val="both"/>
        <w:rPr>
          <w:rFonts w:ascii="Bookman Old Style" w:hAnsi="Bookman Old Style" w:cs="Times New Roman"/>
          <w:sz w:val="24"/>
          <w:szCs w:val="24"/>
        </w:rPr>
      </w:pPr>
    </w:p>
    <w:p w:rsidR="0052332E" w:rsidRDefault="0052332E" w:rsidP="001E0967">
      <w:pPr>
        <w:ind w:right="-279"/>
        <w:jc w:val="both"/>
        <w:rPr>
          <w:rFonts w:ascii="Bookman Old Style" w:hAnsi="Bookman Old Style" w:cs="Times New Roman"/>
          <w:sz w:val="24"/>
          <w:szCs w:val="24"/>
        </w:rPr>
      </w:pPr>
    </w:p>
    <w:p w:rsidR="0052332E" w:rsidRDefault="0052332E" w:rsidP="001E0967">
      <w:pPr>
        <w:ind w:right="-279"/>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cs="Times New Roman"/>
          <w:sz w:val="24"/>
          <w:szCs w:val="24"/>
        </w:rPr>
      </w:pPr>
      <w:bookmarkStart w:id="0" w:name="_GoBack"/>
      <w:bookmarkEnd w:id="0"/>
      <w:r w:rsidRPr="00233669">
        <w:rPr>
          <w:rFonts w:ascii="Bookman Old Style" w:hAnsi="Bookman Old Style" w:cs="Times New Roman"/>
          <w:sz w:val="24"/>
          <w:szCs w:val="24"/>
        </w:rPr>
        <w:lastRenderedPageBreak/>
        <w:t>Constituirá una falta grave a la disciplina el hecho de adoptar medidas disciplinarias injustificadas, realizar hostigamientos o acoso o bien otro tipo de represalias en contra de quien haya efectuado una denuncia fundada en vulneraciones al principio de la probidad administrativa. Asimismo, constituirá una falta a la disciplina el hecho de no adoptarse las medidas de resguardo para el denunciante por parte del mando que haya debido adoptarlas.”</w:t>
      </w: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cs="Times New Roman"/>
          <w:sz w:val="24"/>
          <w:szCs w:val="24"/>
        </w:rPr>
      </w:pPr>
    </w:p>
    <w:p w:rsidR="0060684D" w:rsidRPr="00233669" w:rsidRDefault="0060684D" w:rsidP="001E0967">
      <w:pPr>
        <w:ind w:right="-279"/>
        <w:jc w:val="both"/>
        <w:rPr>
          <w:rFonts w:ascii="Bookman Old Style" w:hAnsi="Bookman Old Style" w:cs="Times New Roman"/>
          <w:sz w:val="24"/>
          <w:szCs w:val="24"/>
        </w:rPr>
      </w:pPr>
    </w:p>
    <w:p w:rsidR="0060684D" w:rsidRDefault="0060684D" w:rsidP="001E0967">
      <w:pPr>
        <w:ind w:right="-279"/>
        <w:jc w:val="center"/>
        <w:rPr>
          <w:rFonts w:ascii="Bookman Old Style" w:hAnsi="Bookman Old Style" w:cs="Times New Roman"/>
          <w:b/>
          <w:bCs/>
          <w:sz w:val="24"/>
          <w:szCs w:val="24"/>
        </w:rPr>
      </w:pPr>
    </w:p>
    <w:p w:rsidR="00251482" w:rsidRDefault="00251482" w:rsidP="001E0967">
      <w:pPr>
        <w:ind w:right="-279"/>
        <w:jc w:val="center"/>
        <w:rPr>
          <w:rFonts w:ascii="Bookman Old Style" w:hAnsi="Bookman Old Style" w:cs="Times New Roman"/>
          <w:b/>
          <w:bCs/>
          <w:sz w:val="24"/>
          <w:szCs w:val="24"/>
        </w:rPr>
      </w:pPr>
    </w:p>
    <w:p w:rsidR="00251482" w:rsidRDefault="00251482" w:rsidP="001E0967">
      <w:pPr>
        <w:ind w:right="-279"/>
        <w:jc w:val="center"/>
        <w:rPr>
          <w:rFonts w:ascii="Bookman Old Style" w:hAnsi="Bookman Old Style" w:cs="Times New Roman"/>
          <w:b/>
          <w:bCs/>
          <w:sz w:val="24"/>
          <w:szCs w:val="24"/>
        </w:rPr>
      </w:pPr>
    </w:p>
    <w:p w:rsidR="00251482" w:rsidRDefault="00251482" w:rsidP="001E0967">
      <w:pPr>
        <w:ind w:right="-279"/>
        <w:jc w:val="center"/>
        <w:rPr>
          <w:rFonts w:ascii="Bookman Old Style" w:hAnsi="Bookman Old Style" w:cs="Times New Roman"/>
          <w:b/>
          <w:bCs/>
          <w:sz w:val="24"/>
          <w:szCs w:val="24"/>
        </w:rPr>
      </w:pPr>
    </w:p>
    <w:p w:rsidR="0060684D" w:rsidRPr="00233669" w:rsidRDefault="0060684D" w:rsidP="001E0967">
      <w:pPr>
        <w:ind w:right="-279"/>
        <w:jc w:val="center"/>
        <w:rPr>
          <w:rFonts w:ascii="Bookman Old Style" w:hAnsi="Bookman Old Style" w:cs="Times New Roman"/>
          <w:b/>
          <w:bCs/>
          <w:sz w:val="24"/>
          <w:szCs w:val="24"/>
        </w:rPr>
      </w:pPr>
    </w:p>
    <w:p w:rsidR="0060684D" w:rsidRPr="00233669" w:rsidRDefault="0060684D" w:rsidP="001E0967">
      <w:pPr>
        <w:ind w:right="-279"/>
        <w:jc w:val="center"/>
        <w:rPr>
          <w:rFonts w:ascii="Bookman Old Style" w:hAnsi="Bookman Old Style" w:cs="Times New Roman"/>
          <w:b/>
          <w:bCs/>
          <w:sz w:val="24"/>
          <w:szCs w:val="24"/>
        </w:rPr>
      </w:pPr>
    </w:p>
    <w:p w:rsidR="0060684D" w:rsidRPr="00233669" w:rsidRDefault="0060684D" w:rsidP="001E0967">
      <w:pPr>
        <w:ind w:right="-279"/>
        <w:jc w:val="center"/>
        <w:rPr>
          <w:rFonts w:ascii="Bookman Old Style" w:hAnsi="Bookman Old Style" w:cs="Times New Roman"/>
          <w:b/>
          <w:bCs/>
          <w:sz w:val="24"/>
          <w:szCs w:val="24"/>
        </w:rPr>
      </w:pPr>
      <w:r w:rsidRPr="00233669">
        <w:rPr>
          <w:rFonts w:ascii="Bookman Old Style" w:hAnsi="Bookman Old Style" w:cs="Times New Roman"/>
          <w:b/>
          <w:bCs/>
          <w:sz w:val="24"/>
          <w:szCs w:val="24"/>
        </w:rPr>
        <w:t>Osvaldo Urrutia S.</w:t>
      </w:r>
    </w:p>
    <w:p w:rsidR="00B54BB3" w:rsidRDefault="0060684D" w:rsidP="001E0967">
      <w:pPr>
        <w:ind w:right="-279"/>
        <w:jc w:val="center"/>
      </w:pPr>
      <w:r w:rsidRPr="00233669">
        <w:rPr>
          <w:rFonts w:ascii="Bookman Old Style" w:hAnsi="Bookman Old Style" w:cs="Times New Roman"/>
          <w:b/>
          <w:bCs/>
          <w:sz w:val="24"/>
          <w:szCs w:val="24"/>
        </w:rPr>
        <w:t>Diputado de la República</w:t>
      </w:r>
    </w:p>
    <w:sectPr w:rsidR="00B54BB3" w:rsidSect="00220829">
      <w:pgSz w:w="12240" w:h="20160" w:code="5"/>
      <w:pgMar w:top="1440" w:right="1440" w:bottom="28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6F8" w:rsidRDefault="006276F8" w:rsidP="0060684D">
      <w:pPr>
        <w:spacing w:line="240" w:lineRule="auto"/>
      </w:pPr>
      <w:r>
        <w:separator/>
      </w:r>
    </w:p>
  </w:endnote>
  <w:endnote w:type="continuationSeparator" w:id="0">
    <w:p w:rsidR="006276F8" w:rsidRDefault="006276F8" w:rsidP="006068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6F8" w:rsidRDefault="006276F8" w:rsidP="0060684D">
      <w:pPr>
        <w:spacing w:line="240" w:lineRule="auto"/>
      </w:pPr>
      <w:r>
        <w:separator/>
      </w:r>
    </w:p>
  </w:footnote>
  <w:footnote w:type="continuationSeparator" w:id="0">
    <w:p w:rsidR="006276F8" w:rsidRDefault="006276F8" w:rsidP="0060684D">
      <w:pPr>
        <w:spacing w:line="240" w:lineRule="auto"/>
      </w:pPr>
      <w:r>
        <w:continuationSeparator/>
      </w:r>
    </w:p>
  </w:footnote>
  <w:footnote w:id="1">
    <w:p w:rsidR="0060684D" w:rsidRPr="00906283" w:rsidRDefault="0060684D" w:rsidP="0060684D">
      <w:pPr>
        <w:pStyle w:val="Textonotapie"/>
        <w:jc w:val="both"/>
        <w:rPr>
          <w:rFonts w:ascii="Bookman Old Style" w:hAnsi="Bookman Old Style"/>
        </w:rPr>
      </w:pPr>
      <w:r w:rsidRPr="00906283">
        <w:rPr>
          <w:rStyle w:val="Refdenotaalpie"/>
          <w:rFonts w:ascii="Bookman Old Style" w:hAnsi="Bookman Old Style"/>
        </w:rPr>
        <w:footnoteRef/>
      </w:r>
      <w:r w:rsidRPr="00906283">
        <w:rPr>
          <w:rFonts w:ascii="Bookman Old Style" w:hAnsi="Bookman Old Style"/>
        </w:rPr>
        <w:t xml:space="preserve"> </w:t>
      </w:r>
      <w:r w:rsidRPr="00906283">
        <w:rPr>
          <w:rFonts w:ascii="Bookman Old Style" w:hAnsi="Bookman Old Style"/>
          <w:smallCaps/>
        </w:rPr>
        <w:t>Diémer Johannsen</w:t>
      </w:r>
      <w:r w:rsidRPr="00906283">
        <w:rPr>
          <w:rFonts w:ascii="Bookman Old Style" w:hAnsi="Bookman Old Style"/>
        </w:rPr>
        <w:t>, Enrique y Olga Cerda Valdés de Diémer (2006. Diccionario Jurídico Chileno y de ciencias afines. Tomo II. Santiago de Chile: Editorial Lexis Nexis. P 112.</w:t>
      </w:r>
    </w:p>
  </w:footnote>
  <w:footnote w:id="2">
    <w:p w:rsidR="0060684D" w:rsidRPr="00906283" w:rsidRDefault="0060684D" w:rsidP="0060684D">
      <w:pPr>
        <w:pStyle w:val="Textonotapie"/>
        <w:jc w:val="both"/>
        <w:rPr>
          <w:rFonts w:ascii="Bookman Old Style" w:hAnsi="Bookman Old Style"/>
        </w:rPr>
      </w:pPr>
      <w:r w:rsidRPr="00906283">
        <w:rPr>
          <w:rStyle w:val="Refdenotaalpie"/>
          <w:rFonts w:ascii="Bookman Old Style" w:hAnsi="Bookman Old Style"/>
        </w:rPr>
        <w:footnoteRef/>
      </w:r>
      <w:r w:rsidRPr="00906283">
        <w:rPr>
          <w:rFonts w:ascii="Bookman Old Style" w:hAnsi="Bookman Old Style"/>
        </w:rPr>
        <w:t xml:space="preserve"> Orellana Retamales, Luis (2000): “La supletoriedad de las leyes” en </w:t>
      </w:r>
      <w:r w:rsidRPr="00906283">
        <w:rPr>
          <w:rFonts w:ascii="Bookman Old Style" w:hAnsi="Bookman Old Style"/>
          <w:i/>
        </w:rPr>
        <w:t xml:space="preserve">Revista Chilena de Derecho, </w:t>
      </w:r>
      <w:r w:rsidRPr="00906283">
        <w:rPr>
          <w:rFonts w:ascii="Bookman Old Style" w:hAnsi="Bookman Old Style"/>
        </w:rPr>
        <w:t>Vol. 27 N°4.p 809.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6BB6"/>
    <w:multiLevelType w:val="hybridMultilevel"/>
    <w:tmpl w:val="D438E33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3A4B0952"/>
    <w:multiLevelType w:val="multilevel"/>
    <w:tmpl w:val="84F6394A"/>
    <w:lvl w:ilvl="0">
      <w:start w:val="1"/>
      <w:numFmt w:val="upperRoman"/>
      <w:lvlText w:val="%1."/>
      <w:lvlJc w:val="right"/>
      <w:pPr>
        <w:ind w:left="720" w:hanging="360"/>
      </w:pPr>
      <w:rPr>
        <w:rFonts w:cs="Times New Roman"/>
        <w:strike w:val="0"/>
        <w:dstrike w:val="0"/>
        <w:u w:val="none"/>
        <w:effect w:val="none"/>
      </w:rPr>
    </w:lvl>
    <w:lvl w:ilvl="1">
      <w:start w:val="1"/>
      <w:numFmt w:val="upperLetter"/>
      <w:lvlText w:val="%2."/>
      <w:lvlJc w:val="left"/>
      <w:pPr>
        <w:ind w:left="1440" w:hanging="360"/>
      </w:pPr>
      <w:rPr>
        <w:rFonts w:cs="Times New Roman"/>
        <w:strike w:val="0"/>
        <w:dstrike w:val="0"/>
        <w:u w:val="none"/>
        <w:effect w:val="none"/>
      </w:rPr>
    </w:lvl>
    <w:lvl w:ilvl="2">
      <w:start w:val="1"/>
      <w:numFmt w:val="decimal"/>
      <w:lvlText w:val="%3."/>
      <w:lvlJc w:val="left"/>
      <w:pPr>
        <w:ind w:left="2160" w:hanging="360"/>
      </w:pPr>
      <w:rPr>
        <w:rFonts w:cs="Times New Roman"/>
        <w:strike w:val="0"/>
        <w:dstrike w:val="0"/>
        <w:u w:val="none"/>
        <w:effect w:val="none"/>
      </w:rPr>
    </w:lvl>
    <w:lvl w:ilvl="3">
      <w:start w:val="1"/>
      <w:numFmt w:val="lowerLetter"/>
      <w:lvlText w:val="%4)"/>
      <w:lvlJc w:val="left"/>
      <w:pPr>
        <w:ind w:left="2880" w:hanging="360"/>
      </w:pPr>
      <w:rPr>
        <w:rFonts w:cs="Times New Roman"/>
        <w:strike w:val="0"/>
        <w:dstrike w:val="0"/>
        <w:u w:val="none"/>
        <w:effect w:val="none"/>
      </w:rPr>
    </w:lvl>
    <w:lvl w:ilvl="4">
      <w:start w:val="1"/>
      <w:numFmt w:val="decimal"/>
      <w:lvlText w:val="(%5)"/>
      <w:lvlJc w:val="left"/>
      <w:pPr>
        <w:ind w:left="3600" w:hanging="360"/>
      </w:pPr>
      <w:rPr>
        <w:rFonts w:cs="Times New Roman"/>
        <w:strike w:val="0"/>
        <w:dstrike w:val="0"/>
        <w:u w:val="none"/>
        <w:effect w:val="none"/>
      </w:rPr>
    </w:lvl>
    <w:lvl w:ilvl="5">
      <w:start w:val="1"/>
      <w:numFmt w:val="lowerLetter"/>
      <w:lvlText w:val="(%6)"/>
      <w:lvlJc w:val="left"/>
      <w:pPr>
        <w:ind w:left="4320" w:hanging="360"/>
      </w:pPr>
      <w:rPr>
        <w:rFonts w:cs="Times New Roman"/>
        <w:strike w:val="0"/>
        <w:dstrike w:val="0"/>
        <w:u w:val="none"/>
        <w:effect w:val="none"/>
      </w:rPr>
    </w:lvl>
    <w:lvl w:ilvl="6">
      <w:start w:val="1"/>
      <w:numFmt w:val="lowerRoman"/>
      <w:lvlText w:val="(%7)"/>
      <w:lvlJc w:val="right"/>
      <w:pPr>
        <w:ind w:left="5040" w:hanging="360"/>
      </w:pPr>
      <w:rPr>
        <w:rFonts w:cs="Times New Roman"/>
        <w:strike w:val="0"/>
        <w:dstrike w:val="0"/>
        <w:u w:val="none"/>
        <w:effect w:val="none"/>
      </w:rPr>
    </w:lvl>
    <w:lvl w:ilvl="7">
      <w:start w:val="1"/>
      <w:numFmt w:val="lowerLetter"/>
      <w:lvlText w:val="(%8)"/>
      <w:lvlJc w:val="left"/>
      <w:pPr>
        <w:ind w:left="5760" w:hanging="360"/>
      </w:pPr>
      <w:rPr>
        <w:rFonts w:cs="Times New Roman"/>
        <w:strike w:val="0"/>
        <w:dstrike w:val="0"/>
        <w:u w:val="none"/>
        <w:effect w:val="none"/>
      </w:rPr>
    </w:lvl>
    <w:lvl w:ilvl="8">
      <w:start w:val="1"/>
      <w:numFmt w:val="lowerRoman"/>
      <w:lvlText w:val="(%9)"/>
      <w:lvlJc w:val="right"/>
      <w:pPr>
        <w:ind w:left="6480" w:hanging="360"/>
      </w:pPr>
      <w:rPr>
        <w:rFonts w:cs="Times New Roman"/>
        <w:strike w:val="0"/>
        <w:dstrike w:val="0"/>
        <w:u w:val="none"/>
        <w:effect w:val="none"/>
      </w:rPr>
    </w:lvl>
  </w:abstractNum>
  <w:abstractNum w:abstractNumId="2">
    <w:nsid w:val="659C6AD7"/>
    <w:multiLevelType w:val="hybridMultilevel"/>
    <w:tmpl w:val="56741C5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73FB2828"/>
    <w:multiLevelType w:val="hybridMultilevel"/>
    <w:tmpl w:val="D4BCD15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684D"/>
    <w:rsid w:val="00002B4D"/>
    <w:rsid w:val="00003E0A"/>
    <w:rsid w:val="00023874"/>
    <w:rsid w:val="00023BF7"/>
    <w:rsid w:val="0002463D"/>
    <w:rsid w:val="0003018D"/>
    <w:rsid w:val="00031CE8"/>
    <w:rsid w:val="00032165"/>
    <w:rsid w:val="0003601C"/>
    <w:rsid w:val="000405B2"/>
    <w:rsid w:val="00042CA8"/>
    <w:rsid w:val="0004418B"/>
    <w:rsid w:val="00056183"/>
    <w:rsid w:val="00056A0F"/>
    <w:rsid w:val="00063053"/>
    <w:rsid w:val="000815CA"/>
    <w:rsid w:val="000817C5"/>
    <w:rsid w:val="0008487D"/>
    <w:rsid w:val="000849CA"/>
    <w:rsid w:val="0009395B"/>
    <w:rsid w:val="000A12DA"/>
    <w:rsid w:val="000B061E"/>
    <w:rsid w:val="000B334B"/>
    <w:rsid w:val="000B4CE6"/>
    <w:rsid w:val="000B553B"/>
    <w:rsid w:val="000B79F4"/>
    <w:rsid w:val="000C09BF"/>
    <w:rsid w:val="000C29C2"/>
    <w:rsid w:val="000C54EB"/>
    <w:rsid w:val="000D6F0A"/>
    <w:rsid w:val="000E2612"/>
    <w:rsid w:val="000E6002"/>
    <w:rsid w:val="000E7D7A"/>
    <w:rsid w:val="000F5F79"/>
    <w:rsid w:val="000F702F"/>
    <w:rsid w:val="00104792"/>
    <w:rsid w:val="001062A5"/>
    <w:rsid w:val="0011135A"/>
    <w:rsid w:val="00116B14"/>
    <w:rsid w:val="00124096"/>
    <w:rsid w:val="00126EE9"/>
    <w:rsid w:val="00127754"/>
    <w:rsid w:val="00146567"/>
    <w:rsid w:val="00150476"/>
    <w:rsid w:val="00156A9E"/>
    <w:rsid w:val="001679C9"/>
    <w:rsid w:val="00176594"/>
    <w:rsid w:val="00186F4F"/>
    <w:rsid w:val="00190DFC"/>
    <w:rsid w:val="00195749"/>
    <w:rsid w:val="001B0F7E"/>
    <w:rsid w:val="001B4930"/>
    <w:rsid w:val="001B72C4"/>
    <w:rsid w:val="001D3C70"/>
    <w:rsid w:val="001E0696"/>
    <w:rsid w:val="001E0967"/>
    <w:rsid w:val="001E4EA3"/>
    <w:rsid w:val="001F052F"/>
    <w:rsid w:val="00205547"/>
    <w:rsid w:val="00210CF7"/>
    <w:rsid w:val="00217952"/>
    <w:rsid w:val="00220829"/>
    <w:rsid w:val="00222936"/>
    <w:rsid w:val="00234248"/>
    <w:rsid w:val="00235648"/>
    <w:rsid w:val="00242026"/>
    <w:rsid w:val="00243860"/>
    <w:rsid w:val="00251482"/>
    <w:rsid w:val="0026038D"/>
    <w:rsid w:val="0026039F"/>
    <w:rsid w:val="0026509B"/>
    <w:rsid w:val="00282E54"/>
    <w:rsid w:val="00284672"/>
    <w:rsid w:val="00287C0B"/>
    <w:rsid w:val="00293B0E"/>
    <w:rsid w:val="00294DFD"/>
    <w:rsid w:val="00295A7C"/>
    <w:rsid w:val="002A4E0D"/>
    <w:rsid w:val="002A7C32"/>
    <w:rsid w:val="002C3743"/>
    <w:rsid w:val="002D70F0"/>
    <w:rsid w:val="002E1BAB"/>
    <w:rsid w:val="002E469F"/>
    <w:rsid w:val="002F03F1"/>
    <w:rsid w:val="002F2BA0"/>
    <w:rsid w:val="002F2CEE"/>
    <w:rsid w:val="00314D4A"/>
    <w:rsid w:val="00324C9C"/>
    <w:rsid w:val="00326214"/>
    <w:rsid w:val="003270F5"/>
    <w:rsid w:val="003272CF"/>
    <w:rsid w:val="003302D1"/>
    <w:rsid w:val="0033780F"/>
    <w:rsid w:val="00340A18"/>
    <w:rsid w:val="00345FE7"/>
    <w:rsid w:val="0035261F"/>
    <w:rsid w:val="00356FDF"/>
    <w:rsid w:val="003578EC"/>
    <w:rsid w:val="00357EF5"/>
    <w:rsid w:val="0036336B"/>
    <w:rsid w:val="0036548C"/>
    <w:rsid w:val="003658BA"/>
    <w:rsid w:val="0037007E"/>
    <w:rsid w:val="0037173D"/>
    <w:rsid w:val="00371A8B"/>
    <w:rsid w:val="00371CAE"/>
    <w:rsid w:val="00374274"/>
    <w:rsid w:val="00374963"/>
    <w:rsid w:val="00381636"/>
    <w:rsid w:val="00382ECC"/>
    <w:rsid w:val="00392138"/>
    <w:rsid w:val="00395CA2"/>
    <w:rsid w:val="003A6210"/>
    <w:rsid w:val="003A6881"/>
    <w:rsid w:val="003A697B"/>
    <w:rsid w:val="003A7339"/>
    <w:rsid w:val="003B2EC9"/>
    <w:rsid w:val="003B786C"/>
    <w:rsid w:val="003C22BC"/>
    <w:rsid w:val="003C5F7B"/>
    <w:rsid w:val="003C6462"/>
    <w:rsid w:val="003D17CB"/>
    <w:rsid w:val="003E101E"/>
    <w:rsid w:val="003F0539"/>
    <w:rsid w:val="003F4352"/>
    <w:rsid w:val="00413174"/>
    <w:rsid w:val="00424DE9"/>
    <w:rsid w:val="00434449"/>
    <w:rsid w:val="0043450A"/>
    <w:rsid w:val="00446E5D"/>
    <w:rsid w:val="004476D3"/>
    <w:rsid w:val="00452884"/>
    <w:rsid w:val="00455576"/>
    <w:rsid w:val="00456D17"/>
    <w:rsid w:val="00460A73"/>
    <w:rsid w:val="004748BC"/>
    <w:rsid w:val="00477878"/>
    <w:rsid w:val="00477A19"/>
    <w:rsid w:val="00477CD1"/>
    <w:rsid w:val="004A4B2A"/>
    <w:rsid w:val="004A70E3"/>
    <w:rsid w:val="004C1A63"/>
    <w:rsid w:val="004C66D4"/>
    <w:rsid w:val="004D0A02"/>
    <w:rsid w:val="004D2A44"/>
    <w:rsid w:val="004D4A34"/>
    <w:rsid w:val="004D4FC7"/>
    <w:rsid w:val="004E0ADD"/>
    <w:rsid w:val="004E48AC"/>
    <w:rsid w:val="004E6B4F"/>
    <w:rsid w:val="00503C81"/>
    <w:rsid w:val="00514355"/>
    <w:rsid w:val="00517045"/>
    <w:rsid w:val="0051763D"/>
    <w:rsid w:val="0052163E"/>
    <w:rsid w:val="00522E1B"/>
    <w:rsid w:val="0052332E"/>
    <w:rsid w:val="005306AF"/>
    <w:rsid w:val="00535189"/>
    <w:rsid w:val="00545D7B"/>
    <w:rsid w:val="00546D62"/>
    <w:rsid w:val="00553276"/>
    <w:rsid w:val="00554C76"/>
    <w:rsid w:val="00556B99"/>
    <w:rsid w:val="00560EBA"/>
    <w:rsid w:val="00562469"/>
    <w:rsid w:val="00576B14"/>
    <w:rsid w:val="00582637"/>
    <w:rsid w:val="005873C5"/>
    <w:rsid w:val="005915AC"/>
    <w:rsid w:val="00591D0D"/>
    <w:rsid w:val="005949A7"/>
    <w:rsid w:val="005B329C"/>
    <w:rsid w:val="005B413F"/>
    <w:rsid w:val="005B5598"/>
    <w:rsid w:val="005C1737"/>
    <w:rsid w:val="005C2C33"/>
    <w:rsid w:val="005C3C1A"/>
    <w:rsid w:val="005D6271"/>
    <w:rsid w:val="005E27C4"/>
    <w:rsid w:val="005E6251"/>
    <w:rsid w:val="005F1C6B"/>
    <w:rsid w:val="005F1D71"/>
    <w:rsid w:val="005F238A"/>
    <w:rsid w:val="005F4F71"/>
    <w:rsid w:val="005F5F5B"/>
    <w:rsid w:val="005F65C2"/>
    <w:rsid w:val="0060684D"/>
    <w:rsid w:val="006074CA"/>
    <w:rsid w:val="0060752E"/>
    <w:rsid w:val="00610580"/>
    <w:rsid w:val="006204C8"/>
    <w:rsid w:val="00622FF8"/>
    <w:rsid w:val="006235B8"/>
    <w:rsid w:val="00626097"/>
    <w:rsid w:val="00626D49"/>
    <w:rsid w:val="006276F8"/>
    <w:rsid w:val="00634450"/>
    <w:rsid w:val="00634E00"/>
    <w:rsid w:val="00643405"/>
    <w:rsid w:val="006455E6"/>
    <w:rsid w:val="006455FB"/>
    <w:rsid w:val="00645C7A"/>
    <w:rsid w:val="00652CE2"/>
    <w:rsid w:val="006555D5"/>
    <w:rsid w:val="00660741"/>
    <w:rsid w:val="006931A4"/>
    <w:rsid w:val="00696D84"/>
    <w:rsid w:val="006A1C71"/>
    <w:rsid w:val="006A4630"/>
    <w:rsid w:val="006B1004"/>
    <w:rsid w:val="006B374F"/>
    <w:rsid w:val="006B38EB"/>
    <w:rsid w:val="006B4AF0"/>
    <w:rsid w:val="006B6350"/>
    <w:rsid w:val="006B7FB3"/>
    <w:rsid w:val="006C44FA"/>
    <w:rsid w:val="006C4BCA"/>
    <w:rsid w:val="006D0855"/>
    <w:rsid w:val="006D3579"/>
    <w:rsid w:val="006E1A26"/>
    <w:rsid w:val="006F3946"/>
    <w:rsid w:val="0071364C"/>
    <w:rsid w:val="00724542"/>
    <w:rsid w:val="00735177"/>
    <w:rsid w:val="007352B3"/>
    <w:rsid w:val="007514DC"/>
    <w:rsid w:val="0075337C"/>
    <w:rsid w:val="0075725D"/>
    <w:rsid w:val="00762E32"/>
    <w:rsid w:val="007663D1"/>
    <w:rsid w:val="00766947"/>
    <w:rsid w:val="0077622F"/>
    <w:rsid w:val="007855C2"/>
    <w:rsid w:val="007869EE"/>
    <w:rsid w:val="007973C1"/>
    <w:rsid w:val="007A1E14"/>
    <w:rsid w:val="007A3EBA"/>
    <w:rsid w:val="007A7631"/>
    <w:rsid w:val="007B17EB"/>
    <w:rsid w:val="007B355B"/>
    <w:rsid w:val="007C085C"/>
    <w:rsid w:val="007C1D3E"/>
    <w:rsid w:val="007C6984"/>
    <w:rsid w:val="007C7231"/>
    <w:rsid w:val="007D33E3"/>
    <w:rsid w:val="007D5F88"/>
    <w:rsid w:val="007E242E"/>
    <w:rsid w:val="007E2801"/>
    <w:rsid w:val="007E46D1"/>
    <w:rsid w:val="007E72BD"/>
    <w:rsid w:val="007F06B9"/>
    <w:rsid w:val="007F0C93"/>
    <w:rsid w:val="007F40EE"/>
    <w:rsid w:val="007F5CD8"/>
    <w:rsid w:val="00805A0F"/>
    <w:rsid w:val="00823D2F"/>
    <w:rsid w:val="00840803"/>
    <w:rsid w:val="00853AA1"/>
    <w:rsid w:val="00870E67"/>
    <w:rsid w:val="00871D32"/>
    <w:rsid w:val="00874D2A"/>
    <w:rsid w:val="00875378"/>
    <w:rsid w:val="00882ABF"/>
    <w:rsid w:val="0089009B"/>
    <w:rsid w:val="00893B95"/>
    <w:rsid w:val="00894B79"/>
    <w:rsid w:val="008957EE"/>
    <w:rsid w:val="008B348E"/>
    <w:rsid w:val="008B6806"/>
    <w:rsid w:val="008B6EDB"/>
    <w:rsid w:val="008C5723"/>
    <w:rsid w:val="008C60F2"/>
    <w:rsid w:val="008D0F89"/>
    <w:rsid w:val="008D3B9A"/>
    <w:rsid w:val="008D5FA1"/>
    <w:rsid w:val="008E08E9"/>
    <w:rsid w:val="008F724F"/>
    <w:rsid w:val="00900FED"/>
    <w:rsid w:val="00913360"/>
    <w:rsid w:val="00915116"/>
    <w:rsid w:val="0092324C"/>
    <w:rsid w:val="009307BC"/>
    <w:rsid w:val="00952F21"/>
    <w:rsid w:val="00960152"/>
    <w:rsid w:val="00964518"/>
    <w:rsid w:val="00970943"/>
    <w:rsid w:val="009750DE"/>
    <w:rsid w:val="009924B9"/>
    <w:rsid w:val="009C0D7B"/>
    <w:rsid w:val="009E16AD"/>
    <w:rsid w:val="009E6A1D"/>
    <w:rsid w:val="009E7D4E"/>
    <w:rsid w:val="009F0D4E"/>
    <w:rsid w:val="009F291B"/>
    <w:rsid w:val="009F2D79"/>
    <w:rsid w:val="00A02F2E"/>
    <w:rsid w:val="00A1000C"/>
    <w:rsid w:val="00A1254F"/>
    <w:rsid w:val="00A1294C"/>
    <w:rsid w:val="00A23ECA"/>
    <w:rsid w:val="00A25975"/>
    <w:rsid w:val="00A26681"/>
    <w:rsid w:val="00A351F7"/>
    <w:rsid w:val="00A504EF"/>
    <w:rsid w:val="00A514C7"/>
    <w:rsid w:val="00A526BE"/>
    <w:rsid w:val="00A55551"/>
    <w:rsid w:val="00A5589A"/>
    <w:rsid w:val="00A628FD"/>
    <w:rsid w:val="00A64EFC"/>
    <w:rsid w:val="00A73FD2"/>
    <w:rsid w:val="00A816CE"/>
    <w:rsid w:val="00A87CDB"/>
    <w:rsid w:val="00A92B94"/>
    <w:rsid w:val="00AA3D76"/>
    <w:rsid w:val="00AA45FC"/>
    <w:rsid w:val="00AA4F62"/>
    <w:rsid w:val="00AA7998"/>
    <w:rsid w:val="00AB096E"/>
    <w:rsid w:val="00AB0D00"/>
    <w:rsid w:val="00AB14FA"/>
    <w:rsid w:val="00AB1D5E"/>
    <w:rsid w:val="00AB2231"/>
    <w:rsid w:val="00AB3A38"/>
    <w:rsid w:val="00AD4D49"/>
    <w:rsid w:val="00AD66EB"/>
    <w:rsid w:val="00AE4D3E"/>
    <w:rsid w:val="00AF06AA"/>
    <w:rsid w:val="00B0322D"/>
    <w:rsid w:val="00B04B99"/>
    <w:rsid w:val="00B05C78"/>
    <w:rsid w:val="00B079AB"/>
    <w:rsid w:val="00B120DF"/>
    <w:rsid w:val="00B228BF"/>
    <w:rsid w:val="00B26A77"/>
    <w:rsid w:val="00B32AEA"/>
    <w:rsid w:val="00B45051"/>
    <w:rsid w:val="00B47664"/>
    <w:rsid w:val="00B54BB3"/>
    <w:rsid w:val="00B56690"/>
    <w:rsid w:val="00B641D7"/>
    <w:rsid w:val="00B676A2"/>
    <w:rsid w:val="00B67C6C"/>
    <w:rsid w:val="00B71E47"/>
    <w:rsid w:val="00B7224C"/>
    <w:rsid w:val="00B74004"/>
    <w:rsid w:val="00B82429"/>
    <w:rsid w:val="00B8428A"/>
    <w:rsid w:val="00B85453"/>
    <w:rsid w:val="00B90DEC"/>
    <w:rsid w:val="00B9215F"/>
    <w:rsid w:val="00BA0904"/>
    <w:rsid w:val="00BA78D3"/>
    <w:rsid w:val="00BB3AD7"/>
    <w:rsid w:val="00BB70FC"/>
    <w:rsid w:val="00BC10E9"/>
    <w:rsid w:val="00BC6292"/>
    <w:rsid w:val="00BE41CB"/>
    <w:rsid w:val="00BE5227"/>
    <w:rsid w:val="00BE74EC"/>
    <w:rsid w:val="00BF6A5B"/>
    <w:rsid w:val="00C067C0"/>
    <w:rsid w:val="00C14E0E"/>
    <w:rsid w:val="00C1757D"/>
    <w:rsid w:val="00C2372A"/>
    <w:rsid w:val="00C30342"/>
    <w:rsid w:val="00C36C41"/>
    <w:rsid w:val="00C60286"/>
    <w:rsid w:val="00C72A77"/>
    <w:rsid w:val="00C77C89"/>
    <w:rsid w:val="00C83780"/>
    <w:rsid w:val="00C95ABC"/>
    <w:rsid w:val="00CA4264"/>
    <w:rsid w:val="00CA4989"/>
    <w:rsid w:val="00CA61B4"/>
    <w:rsid w:val="00CA714F"/>
    <w:rsid w:val="00CB0918"/>
    <w:rsid w:val="00CB4C1C"/>
    <w:rsid w:val="00CB7866"/>
    <w:rsid w:val="00CC0106"/>
    <w:rsid w:val="00CD2503"/>
    <w:rsid w:val="00CD33D0"/>
    <w:rsid w:val="00CD5054"/>
    <w:rsid w:val="00CE3203"/>
    <w:rsid w:val="00CF051C"/>
    <w:rsid w:val="00CF0CB6"/>
    <w:rsid w:val="00CF2403"/>
    <w:rsid w:val="00CF4D70"/>
    <w:rsid w:val="00D1388B"/>
    <w:rsid w:val="00D21365"/>
    <w:rsid w:val="00D2286D"/>
    <w:rsid w:val="00D23265"/>
    <w:rsid w:val="00D3183D"/>
    <w:rsid w:val="00D37739"/>
    <w:rsid w:val="00D4557F"/>
    <w:rsid w:val="00D4712F"/>
    <w:rsid w:val="00D47322"/>
    <w:rsid w:val="00D57864"/>
    <w:rsid w:val="00D6280D"/>
    <w:rsid w:val="00D74418"/>
    <w:rsid w:val="00D77C26"/>
    <w:rsid w:val="00D8260C"/>
    <w:rsid w:val="00D956E7"/>
    <w:rsid w:val="00D97B03"/>
    <w:rsid w:val="00DA3E2B"/>
    <w:rsid w:val="00DA5CE7"/>
    <w:rsid w:val="00DA6281"/>
    <w:rsid w:val="00DB5B99"/>
    <w:rsid w:val="00DC2A2A"/>
    <w:rsid w:val="00DC57BD"/>
    <w:rsid w:val="00DC5D6A"/>
    <w:rsid w:val="00DC67B9"/>
    <w:rsid w:val="00DD63C4"/>
    <w:rsid w:val="00DE0A33"/>
    <w:rsid w:val="00DE1878"/>
    <w:rsid w:val="00DE3FF4"/>
    <w:rsid w:val="00DF0731"/>
    <w:rsid w:val="00DF4320"/>
    <w:rsid w:val="00DF6717"/>
    <w:rsid w:val="00E009E3"/>
    <w:rsid w:val="00E02099"/>
    <w:rsid w:val="00E02F37"/>
    <w:rsid w:val="00E050AB"/>
    <w:rsid w:val="00E0533A"/>
    <w:rsid w:val="00E05E66"/>
    <w:rsid w:val="00E25A15"/>
    <w:rsid w:val="00E26A64"/>
    <w:rsid w:val="00E277B3"/>
    <w:rsid w:val="00E41454"/>
    <w:rsid w:val="00E43FBF"/>
    <w:rsid w:val="00E4588F"/>
    <w:rsid w:val="00E54C5C"/>
    <w:rsid w:val="00E55A43"/>
    <w:rsid w:val="00E55E12"/>
    <w:rsid w:val="00E56D8F"/>
    <w:rsid w:val="00E6497B"/>
    <w:rsid w:val="00E65725"/>
    <w:rsid w:val="00E805B6"/>
    <w:rsid w:val="00E82696"/>
    <w:rsid w:val="00E86450"/>
    <w:rsid w:val="00EA235A"/>
    <w:rsid w:val="00EA3F9B"/>
    <w:rsid w:val="00EA6FFD"/>
    <w:rsid w:val="00EA7CCE"/>
    <w:rsid w:val="00EB5021"/>
    <w:rsid w:val="00EB740C"/>
    <w:rsid w:val="00EC0BE9"/>
    <w:rsid w:val="00EC21E2"/>
    <w:rsid w:val="00EC2235"/>
    <w:rsid w:val="00EC3C1F"/>
    <w:rsid w:val="00EC458B"/>
    <w:rsid w:val="00EE72D4"/>
    <w:rsid w:val="00EE7989"/>
    <w:rsid w:val="00EF0278"/>
    <w:rsid w:val="00F023DE"/>
    <w:rsid w:val="00F04357"/>
    <w:rsid w:val="00F13CCB"/>
    <w:rsid w:val="00F159CD"/>
    <w:rsid w:val="00F229C4"/>
    <w:rsid w:val="00F3090C"/>
    <w:rsid w:val="00F42567"/>
    <w:rsid w:val="00F47728"/>
    <w:rsid w:val="00F54169"/>
    <w:rsid w:val="00F563AF"/>
    <w:rsid w:val="00F57CAA"/>
    <w:rsid w:val="00F61E29"/>
    <w:rsid w:val="00F70604"/>
    <w:rsid w:val="00F8493E"/>
    <w:rsid w:val="00F907DA"/>
    <w:rsid w:val="00F96D71"/>
    <w:rsid w:val="00FA4A07"/>
    <w:rsid w:val="00FA6F0B"/>
    <w:rsid w:val="00FB65AA"/>
    <w:rsid w:val="00FB73AB"/>
    <w:rsid w:val="00FC5346"/>
    <w:rsid w:val="00FD0098"/>
    <w:rsid w:val="00FD744A"/>
    <w:rsid w:val="00FE3567"/>
    <w:rsid w:val="00FF07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4D"/>
    <w:pPr>
      <w:spacing w:after="0" w:line="276" w:lineRule="auto"/>
    </w:pPr>
    <w:rPr>
      <w:rFonts w:ascii="Arial" w:eastAsia="Arial" w:hAnsi="Arial" w:cs="Arial"/>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0684D"/>
    <w:rPr>
      <w:sz w:val="20"/>
      <w:szCs w:val="20"/>
    </w:rPr>
  </w:style>
  <w:style w:type="character" w:customStyle="1" w:styleId="TextonotapieCar">
    <w:name w:val="Texto nota pie Car"/>
    <w:basedOn w:val="Fuentedeprrafopredeter"/>
    <w:link w:val="Textonotapie"/>
    <w:uiPriority w:val="99"/>
    <w:semiHidden/>
    <w:rsid w:val="0060684D"/>
    <w:rPr>
      <w:rFonts w:ascii="Arial" w:eastAsia="Arial" w:hAnsi="Arial" w:cs="Arial"/>
      <w:sz w:val="20"/>
      <w:szCs w:val="20"/>
      <w:lang w:eastAsia="es-CL"/>
    </w:rPr>
  </w:style>
  <w:style w:type="paragraph" w:styleId="Prrafodelista">
    <w:name w:val="List Paragraph"/>
    <w:basedOn w:val="Normal"/>
    <w:uiPriority w:val="34"/>
    <w:qFormat/>
    <w:rsid w:val="0060684D"/>
    <w:pPr>
      <w:ind w:left="720"/>
    </w:pPr>
    <w:rPr>
      <w:rFonts w:ascii="Calibri" w:hAnsi="Calibri" w:cs="Times New Roman"/>
      <w:lang w:eastAsia="en-US"/>
    </w:rPr>
  </w:style>
  <w:style w:type="character" w:styleId="Refdenotaalpie">
    <w:name w:val="footnote reference"/>
    <w:uiPriority w:val="99"/>
    <w:semiHidden/>
    <w:unhideWhenUsed/>
    <w:rsid w:val="0060684D"/>
    <w:rPr>
      <w:vertAlign w:val="superscript"/>
    </w:rPr>
  </w:style>
  <w:style w:type="paragraph" w:styleId="Textodeglobo">
    <w:name w:val="Balloon Text"/>
    <w:basedOn w:val="Normal"/>
    <w:link w:val="TextodegloboCar"/>
    <w:uiPriority w:val="99"/>
    <w:semiHidden/>
    <w:unhideWhenUsed/>
    <w:rsid w:val="001D3C7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3C70"/>
    <w:rPr>
      <w:rFonts w:ascii="Segoe UI" w:eastAsia="Arial" w:hAnsi="Segoe UI" w:cs="Segoe UI"/>
      <w:sz w:val="18"/>
      <w:szCs w:val="18"/>
      <w:lang w:eastAsia="es-C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2665</Words>
  <Characters>14660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 Urrutia Soto</dc:creator>
  <cp:keywords/>
  <dc:description/>
  <cp:lastModifiedBy>Guillermo Diaz Vallejos</cp:lastModifiedBy>
  <cp:revision>7</cp:revision>
  <cp:lastPrinted>2019-09-25T16:06:00Z</cp:lastPrinted>
  <dcterms:created xsi:type="dcterms:W3CDTF">2019-09-25T18:41:00Z</dcterms:created>
  <dcterms:modified xsi:type="dcterms:W3CDTF">2019-09-26T16:22:00Z</dcterms:modified>
</cp:coreProperties>
</file>