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F3" w:rsidRDefault="000929DF" w:rsidP="000929DF">
      <w:pPr>
        <w:spacing w:after="0" w:line="320" w:lineRule="atLeast"/>
        <w:jc w:val="both"/>
        <w:rPr>
          <w:rFonts w:eastAsia="Times New Roman" w:cstheme="minorHAnsi"/>
          <w:b/>
          <w:sz w:val="24"/>
          <w:szCs w:val="24"/>
          <w:lang w:val="es-ES" w:eastAsia="es-ES"/>
        </w:rPr>
      </w:pPr>
      <w:r w:rsidRPr="000929DF">
        <w:rPr>
          <w:rFonts w:eastAsia="Times New Roman" w:cstheme="minorHAnsi"/>
          <w:b/>
          <w:sz w:val="24"/>
          <w:szCs w:val="24"/>
          <w:lang w:val="es-ES" w:eastAsia="es-ES"/>
        </w:rPr>
        <w:t>Modifica la ley N°20.606 Sobre composición nutricional de los alimentos y su publicidad, y la ley N°19.886, de Bases sobre contratos administrativos de suministro y prestación de servicios, para incorporar a la enfermedad celiaca y al gluten como su principal causante, en las menciones y en la regulación contenidas en dichas normas</w:t>
      </w:r>
    </w:p>
    <w:p w:rsidR="000929DF" w:rsidRDefault="000929DF" w:rsidP="000929DF">
      <w:pPr>
        <w:spacing w:after="0" w:line="320" w:lineRule="atLeast"/>
        <w:jc w:val="both"/>
        <w:rPr>
          <w:rFonts w:eastAsia="Times New Roman" w:cstheme="minorHAnsi"/>
          <w:b/>
          <w:sz w:val="24"/>
          <w:szCs w:val="24"/>
          <w:lang w:val="es-ES" w:eastAsia="es-ES"/>
        </w:rPr>
      </w:pPr>
    </w:p>
    <w:p w:rsidR="000929DF" w:rsidRDefault="000929DF" w:rsidP="000929DF">
      <w:pPr>
        <w:spacing w:after="0" w:line="320" w:lineRule="atLeast"/>
        <w:jc w:val="center"/>
        <w:rPr>
          <w:rFonts w:eastAsia="Times New Roman" w:cstheme="minorHAnsi"/>
          <w:b/>
          <w:sz w:val="24"/>
          <w:szCs w:val="24"/>
          <w:lang w:val="es-ES" w:eastAsia="es-ES"/>
        </w:rPr>
      </w:pPr>
      <w:r>
        <w:rPr>
          <w:rFonts w:eastAsia="Times New Roman" w:cstheme="minorHAnsi"/>
          <w:b/>
          <w:sz w:val="24"/>
          <w:szCs w:val="24"/>
          <w:lang w:val="es-ES" w:eastAsia="es-ES"/>
        </w:rPr>
        <w:t>Boletín N° 12906-11</w:t>
      </w:r>
    </w:p>
    <w:p w:rsidR="000929DF" w:rsidRPr="00D24EE6" w:rsidRDefault="000929DF" w:rsidP="000929DF">
      <w:pPr>
        <w:spacing w:after="0" w:line="320" w:lineRule="atLeast"/>
        <w:jc w:val="both"/>
        <w:rPr>
          <w:rFonts w:eastAsia="Times New Roman" w:cstheme="minorHAnsi"/>
          <w:b/>
          <w:sz w:val="24"/>
          <w:szCs w:val="24"/>
          <w:lang w:val="es-ES" w:eastAsia="es-ES"/>
        </w:rPr>
      </w:pPr>
    </w:p>
    <w:p w:rsidR="00AF74F3" w:rsidRPr="00D24EE6" w:rsidRDefault="00B81F2F" w:rsidP="00D24EE6">
      <w:pPr>
        <w:spacing w:after="0" w:line="276" w:lineRule="auto"/>
        <w:jc w:val="both"/>
        <w:rPr>
          <w:rFonts w:eastAsia="Times New Roman" w:cstheme="minorHAnsi"/>
          <w:b/>
          <w:sz w:val="24"/>
          <w:szCs w:val="24"/>
          <w:lang w:val="es-ES" w:eastAsia="es-ES"/>
        </w:rPr>
      </w:pPr>
      <w:r w:rsidRPr="00D24EE6">
        <w:rPr>
          <w:rFonts w:eastAsia="Times New Roman" w:cstheme="minorHAnsi"/>
          <w:b/>
          <w:sz w:val="24"/>
          <w:szCs w:val="24"/>
          <w:lang w:val="es-ES" w:eastAsia="es-ES"/>
        </w:rPr>
        <w:t>Ideas generales</w:t>
      </w:r>
      <w:r w:rsidR="00DF7046" w:rsidRPr="00D24EE6">
        <w:rPr>
          <w:rFonts w:eastAsia="Times New Roman" w:cstheme="minorHAnsi"/>
          <w:b/>
          <w:sz w:val="24"/>
          <w:szCs w:val="24"/>
          <w:lang w:val="es-ES" w:eastAsia="es-ES"/>
        </w:rPr>
        <w:t xml:space="preserve">: </w:t>
      </w:r>
    </w:p>
    <w:p w:rsidR="0076219E" w:rsidRPr="00D24EE6" w:rsidRDefault="0076219E" w:rsidP="00D24EE6">
      <w:pPr>
        <w:spacing w:after="0" w:line="276" w:lineRule="auto"/>
        <w:jc w:val="both"/>
        <w:rPr>
          <w:rFonts w:eastAsia="Times New Roman" w:cstheme="minorHAnsi"/>
          <w:b/>
          <w:sz w:val="24"/>
          <w:szCs w:val="24"/>
          <w:lang w:val="es-ES" w:eastAsia="es-ES"/>
        </w:rPr>
      </w:pPr>
    </w:p>
    <w:p w:rsidR="00B81F2F" w:rsidRPr="00D24EE6" w:rsidRDefault="009A3DA9" w:rsidP="00D24EE6">
      <w:pPr>
        <w:spacing w:after="0" w:line="276" w:lineRule="auto"/>
        <w:jc w:val="both"/>
        <w:rPr>
          <w:rFonts w:eastAsia="Times New Roman" w:cstheme="minorHAnsi"/>
          <w:sz w:val="24"/>
          <w:szCs w:val="24"/>
          <w:u w:val="single"/>
          <w:lang w:val="es-ES" w:eastAsia="es-ES"/>
        </w:rPr>
      </w:pPr>
      <w:r w:rsidRPr="00D24EE6">
        <w:rPr>
          <w:rFonts w:eastAsia="Times New Roman" w:cstheme="minorHAnsi"/>
          <w:sz w:val="24"/>
          <w:szCs w:val="24"/>
          <w:u w:val="single"/>
          <w:lang w:val="es-ES" w:eastAsia="es-ES"/>
        </w:rPr>
        <w:t>L</w:t>
      </w:r>
      <w:r w:rsidR="001E0DFC" w:rsidRPr="00D24EE6">
        <w:rPr>
          <w:rFonts w:eastAsia="Times New Roman" w:cstheme="minorHAnsi"/>
          <w:sz w:val="24"/>
          <w:szCs w:val="24"/>
          <w:u w:val="single"/>
          <w:lang w:val="es-ES" w:eastAsia="es-ES"/>
        </w:rPr>
        <w:t>a Enfermedad Cel</w:t>
      </w:r>
      <w:r w:rsidR="0076219E" w:rsidRPr="00D24EE6">
        <w:rPr>
          <w:rFonts w:eastAsia="Times New Roman" w:cstheme="minorHAnsi"/>
          <w:sz w:val="24"/>
          <w:szCs w:val="24"/>
          <w:u w:val="single"/>
          <w:lang w:val="es-ES" w:eastAsia="es-ES"/>
        </w:rPr>
        <w:t>í</w:t>
      </w:r>
      <w:r w:rsidR="001E0DFC" w:rsidRPr="00D24EE6">
        <w:rPr>
          <w:rFonts w:eastAsia="Times New Roman" w:cstheme="minorHAnsi"/>
          <w:sz w:val="24"/>
          <w:szCs w:val="24"/>
          <w:u w:val="single"/>
          <w:lang w:val="es-ES" w:eastAsia="es-ES"/>
        </w:rPr>
        <w:t>aca</w:t>
      </w:r>
      <w:r w:rsidR="0076219E" w:rsidRPr="00D24EE6">
        <w:rPr>
          <w:rFonts w:eastAsia="Times New Roman" w:cstheme="minorHAnsi"/>
          <w:sz w:val="24"/>
          <w:szCs w:val="24"/>
          <w:u w:val="single"/>
          <w:lang w:val="es-ES" w:eastAsia="es-ES"/>
        </w:rPr>
        <w:t xml:space="preserve"> (EC)</w:t>
      </w:r>
    </w:p>
    <w:p w:rsidR="00E41D7E" w:rsidRPr="00D24EE6" w:rsidRDefault="00E41D7E" w:rsidP="00D24EE6">
      <w:pPr>
        <w:spacing w:after="0" w:line="276" w:lineRule="auto"/>
        <w:jc w:val="both"/>
        <w:rPr>
          <w:rFonts w:eastAsia="Times New Roman" w:cstheme="minorHAnsi"/>
          <w:sz w:val="24"/>
          <w:szCs w:val="24"/>
          <w:lang w:val="es-ES" w:eastAsia="es-ES"/>
        </w:rPr>
      </w:pPr>
      <w:bookmarkStart w:id="0" w:name="_Hlk16463686"/>
      <w:r w:rsidRPr="00D24EE6">
        <w:rPr>
          <w:rFonts w:eastAsia="Times New Roman" w:cstheme="minorHAnsi"/>
          <w:sz w:val="24"/>
          <w:szCs w:val="24"/>
          <w:lang w:val="es-ES" w:eastAsia="es-ES"/>
        </w:rPr>
        <w:t>La Enfermedad Celíaca (EC) es una intolerancia permanente al Gluten, proteína presente en el trigo, centeno y cebada. En algunas personas se manifiesta también intolerancia a la avena.</w:t>
      </w:r>
    </w:p>
    <w:p w:rsidR="001E0DFC" w:rsidRPr="00D24EE6" w:rsidRDefault="0076219E"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La </w:t>
      </w:r>
      <w:r w:rsidR="001E0DFC" w:rsidRPr="00D24EE6">
        <w:rPr>
          <w:rFonts w:eastAsia="Times New Roman" w:cstheme="minorHAnsi"/>
          <w:sz w:val="24"/>
          <w:szCs w:val="24"/>
          <w:lang w:val="es-ES" w:eastAsia="es-ES"/>
        </w:rPr>
        <w:t>manera de entender la E</w:t>
      </w:r>
      <w:r w:rsidR="00BC7698" w:rsidRPr="00D24EE6">
        <w:rPr>
          <w:rFonts w:eastAsia="Times New Roman" w:cstheme="minorHAnsi"/>
          <w:sz w:val="24"/>
          <w:szCs w:val="24"/>
          <w:lang w:val="es-ES" w:eastAsia="es-ES"/>
        </w:rPr>
        <w:t>C</w:t>
      </w:r>
      <w:r w:rsidR="001E0DFC" w:rsidRPr="00D24EE6">
        <w:rPr>
          <w:rFonts w:eastAsia="Times New Roman" w:cstheme="minorHAnsi"/>
          <w:sz w:val="24"/>
          <w:szCs w:val="24"/>
          <w:lang w:val="es-ES" w:eastAsia="es-ES"/>
        </w:rPr>
        <w:t xml:space="preserve"> ha cambiado sustancialmente en los</w:t>
      </w:r>
      <w:r w:rsidRPr="00D24EE6">
        <w:rPr>
          <w:rFonts w:eastAsia="Times New Roman" w:cstheme="minorHAnsi"/>
          <w:sz w:val="24"/>
          <w:szCs w:val="24"/>
          <w:lang w:val="es-ES" w:eastAsia="es-ES"/>
        </w:rPr>
        <w:t xml:space="preserve"> </w:t>
      </w:r>
      <w:r w:rsidR="001E0DFC" w:rsidRPr="00D24EE6">
        <w:rPr>
          <w:rFonts w:eastAsia="Times New Roman" w:cstheme="minorHAnsi"/>
          <w:sz w:val="24"/>
          <w:szCs w:val="24"/>
          <w:lang w:val="es-ES" w:eastAsia="es-ES"/>
        </w:rPr>
        <w:t>últimos 10-15 años. Lejos de ser una enfermedad digestiva, relativamente poco frecuente que</w:t>
      </w:r>
      <w:r w:rsidRPr="00D24EE6">
        <w:rPr>
          <w:rFonts w:eastAsia="Times New Roman" w:cstheme="minorHAnsi"/>
          <w:sz w:val="24"/>
          <w:szCs w:val="24"/>
          <w:lang w:val="es-ES" w:eastAsia="es-ES"/>
        </w:rPr>
        <w:t xml:space="preserve"> </w:t>
      </w:r>
      <w:r w:rsidR="001E0DFC" w:rsidRPr="00D24EE6">
        <w:rPr>
          <w:rFonts w:eastAsia="Times New Roman" w:cstheme="minorHAnsi"/>
          <w:sz w:val="24"/>
          <w:szCs w:val="24"/>
          <w:lang w:val="es-ES" w:eastAsia="es-ES"/>
        </w:rPr>
        <w:t>afecta sólo a los niños, hoy se la reconoce como una condición inflamatoria crónica, autoinmune,</w:t>
      </w:r>
      <w:r w:rsidRPr="00D24EE6">
        <w:rPr>
          <w:rFonts w:eastAsia="Times New Roman" w:cstheme="minorHAnsi"/>
          <w:sz w:val="24"/>
          <w:szCs w:val="24"/>
          <w:lang w:val="es-ES" w:eastAsia="es-ES"/>
        </w:rPr>
        <w:t xml:space="preserve"> </w:t>
      </w:r>
      <w:r w:rsidR="001E0DFC" w:rsidRPr="00D24EE6">
        <w:rPr>
          <w:rFonts w:eastAsia="Times New Roman" w:cstheme="minorHAnsi"/>
          <w:sz w:val="24"/>
          <w:szCs w:val="24"/>
          <w:lang w:val="es-ES" w:eastAsia="es-ES"/>
        </w:rPr>
        <w:t xml:space="preserve">con un fuerte componente genético, </w:t>
      </w:r>
      <w:r w:rsidR="00E41D7E" w:rsidRPr="00D24EE6">
        <w:rPr>
          <w:rFonts w:eastAsia="Times New Roman" w:cstheme="minorHAnsi"/>
          <w:sz w:val="24"/>
          <w:szCs w:val="24"/>
          <w:lang w:val="es-ES" w:eastAsia="es-ES"/>
        </w:rPr>
        <w:t>lo que contribuye a producir una inadecuada absorción de los nutrientes de los alimentos, como proteínas, grasas, hidratos de carbono, sales minerales y vitaminas.</w:t>
      </w:r>
      <w:r w:rsidR="00E9220F" w:rsidRPr="00D24EE6">
        <w:rPr>
          <w:rFonts w:eastAsia="Times New Roman" w:cstheme="minorHAnsi"/>
          <w:sz w:val="24"/>
          <w:szCs w:val="24"/>
          <w:lang w:val="es-ES" w:eastAsia="es-ES"/>
        </w:rPr>
        <w:t xml:space="preserve"> </w:t>
      </w:r>
      <w:r w:rsidR="00E9220F" w:rsidRPr="00D24EE6">
        <w:rPr>
          <w:rFonts w:eastAsia="Times New Roman" w:cstheme="minorHAnsi"/>
          <w:b/>
          <w:bCs/>
          <w:sz w:val="24"/>
          <w:szCs w:val="24"/>
          <w:lang w:val="es-ES" w:eastAsia="es-ES"/>
        </w:rPr>
        <w:t xml:space="preserve">Es </w:t>
      </w:r>
      <w:r w:rsidR="001E0DFC" w:rsidRPr="00D24EE6">
        <w:rPr>
          <w:rFonts w:eastAsia="Times New Roman" w:cstheme="minorHAnsi"/>
          <w:b/>
          <w:bCs/>
          <w:sz w:val="24"/>
          <w:szCs w:val="24"/>
          <w:lang w:val="es-ES" w:eastAsia="es-ES"/>
        </w:rPr>
        <w:t>de alta prevalencia (afecta a alrededor del 1% de la población</w:t>
      </w:r>
      <w:r w:rsidRPr="00D24EE6">
        <w:rPr>
          <w:rFonts w:eastAsia="Times New Roman" w:cstheme="minorHAnsi"/>
          <w:b/>
          <w:bCs/>
          <w:sz w:val="24"/>
          <w:szCs w:val="24"/>
          <w:lang w:val="es-ES" w:eastAsia="es-ES"/>
        </w:rPr>
        <w:t xml:space="preserve"> </w:t>
      </w:r>
      <w:r w:rsidR="001E0DFC" w:rsidRPr="00D24EE6">
        <w:rPr>
          <w:rFonts w:eastAsia="Times New Roman" w:cstheme="minorHAnsi"/>
          <w:b/>
          <w:bCs/>
          <w:sz w:val="24"/>
          <w:szCs w:val="24"/>
          <w:lang w:val="es-ES" w:eastAsia="es-ES"/>
        </w:rPr>
        <w:t>general)</w:t>
      </w:r>
      <w:r w:rsidR="001E0DFC" w:rsidRPr="00D24EE6">
        <w:rPr>
          <w:rFonts w:eastAsia="Times New Roman" w:cstheme="minorHAnsi"/>
          <w:sz w:val="24"/>
          <w:szCs w:val="24"/>
          <w:lang w:val="es-ES" w:eastAsia="es-ES"/>
        </w:rPr>
        <w:t xml:space="preserve">, se desarrolla a cualquier edad, </w:t>
      </w:r>
      <w:r w:rsidR="00253999" w:rsidRPr="00D24EE6">
        <w:rPr>
          <w:rFonts w:eastAsia="Times New Roman" w:cstheme="minorHAnsi"/>
          <w:sz w:val="24"/>
          <w:szCs w:val="24"/>
          <w:lang w:val="es-ES" w:eastAsia="es-ES"/>
        </w:rPr>
        <w:t xml:space="preserve">tiene mayor frecuencia en el sexo femenino, </w:t>
      </w:r>
      <w:r w:rsidR="001E0DFC" w:rsidRPr="00D24EE6">
        <w:rPr>
          <w:rFonts w:eastAsia="Times New Roman" w:cstheme="minorHAnsi"/>
          <w:sz w:val="24"/>
          <w:szCs w:val="24"/>
          <w:lang w:val="es-ES" w:eastAsia="es-ES"/>
        </w:rPr>
        <w:t xml:space="preserve">se manifiesta por sintomatología digestiva y/o </w:t>
      </w:r>
      <w:r w:rsidR="00DD40FA" w:rsidRPr="00D24EE6">
        <w:rPr>
          <w:rFonts w:eastAsia="Times New Roman" w:cstheme="minorHAnsi"/>
          <w:sz w:val="24"/>
          <w:szCs w:val="24"/>
          <w:lang w:val="es-ES" w:eastAsia="es-ES"/>
        </w:rPr>
        <w:t>extradigestiva</w:t>
      </w:r>
      <w:r w:rsidR="001E0DFC" w:rsidRPr="00D24EE6">
        <w:rPr>
          <w:rFonts w:eastAsia="Times New Roman" w:cstheme="minorHAnsi"/>
          <w:sz w:val="24"/>
          <w:szCs w:val="24"/>
          <w:lang w:val="es-ES" w:eastAsia="es-ES"/>
        </w:rPr>
        <w:t xml:space="preserve">, y se acompaña de </w:t>
      </w:r>
      <w:r w:rsidR="000929DF">
        <w:rPr>
          <w:rFonts w:eastAsia="Times New Roman" w:cstheme="minorHAnsi"/>
          <w:sz w:val="24"/>
          <w:szCs w:val="24"/>
          <w:lang w:val="es-ES" w:eastAsia="es-ES"/>
        </w:rPr>
        <w:t xml:space="preserve">   </w:t>
      </w:r>
      <w:r w:rsidR="001E0DFC" w:rsidRPr="00D24EE6">
        <w:rPr>
          <w:rFonts w:eastAsia="Times New Roman" w:cstheme="minorHAnsi"/>
          <w:sz w:val="24"/>
          <w:szCs w:val="24"/>
          <w:lang w:val="es-ES" w:eastAsia="es-ES"/>
        </w:rPr>
        <w:t>significativa morbilidad, impacto en la calidad de vida y altos costos</w:t>
      </w:r>
      <w:r w:rsidRPr="00D24EE6">
        <w:rPr>
          <w:rFonts w:eastAsia="Times New Roman" w:cstheme="minorHAnsi"/>
          <w:sz w:val="24"/>
          <w:szCs w:val="24"/>
          <w:lang w:val="es-ES" w:eastAsia="es-ES"/>
        </w:rPr>
        <w:t xml:space="preserve"> </w:t>
      </w:r>
      <w:r w:rsidR="001E0DFC" w:rsidRPr="00D24EE6">
        <w:rPr>
          <w:rFonts w:eastAsia="Times New Roman" w:cstheme="minorHAnsi"/>
          <w:sz w:val="24"/>
          <w:szCs w:val="24"/>
          <w:lang w:val="es-ES" w:eastAsia="es-ES"/>
        </w:rPr>
        <w:t xml:space="preserve">socioeconómicos </w:t>
      </w:r>
      <w:r w:rsidR="000929DF">
        <w:rPr>
          <w:rFonts w:eastAsia="Times New Roman" w:cstheme="minorHAnsi"/>
          <w:sz w:val="24"/>
          <w:szCs w:val="24"/>
          <w:lang w:val="es-ES" w:eastAsia="es-ES"/>
        </w:rPr>
        <w:t xml:space="preserve"> </w:t>
      </w:r>
      <w:r w:rsidR="001E0DFC" w:rsidRPr="00D24EE6">
        <w:rPr>
          <w:rFonts w:eastAsia="Times New Roman" w:cstheme="minorHAnsi"/>
          <w:sz w:val="24"/>
          <w:szCs w:val="24"/>
          <w:lang w:val="es-ES" w:eastAsia="es-ES"/>
        </w:rPr>
        <w:t>para el paciente y su familia.</w:t>
      </w:r>
      <w:r w:rsidRPr="00D24EE6">
        <w:rPr>
          <w:rStyle w:val="Refdenotaalpie"/>
          <w:rFonts w:eastAsia="Times New Roman" w:cstheme="minorHAnsi"/>
          <w:sz w:val="24"/>
          <w:szCs w:val="24"/>
          <w:lang w:val="es-ES" w:eastAsia="es-ES"/>
        </w:rPr>
        <w:footnoteReference w:id="1"/>
      </w:r>
    </w:p>
    <w:bookmarkEnd w:id="0"/>
    <w:p w:rsidR="009F12A0" w:rsidRPr="00D24EE6" w:rsidRDefault="009F12A0" w:rsidP="00D24EE6">
      <w:pPr>
        <w:spacing w:after="0" w:line="276" w:lineRule="auto"/>
        <w:jc w:val="both"/>
        <w:rPr>
          <w:rFonts w:eastAsia="Times New Roman" w:cstheme="minorHAnsi"/>
          <w:sz w:val="24"/>
          <w:szCs w:val="24"/>
          <w:lang w:val="es-ES" w:eastAsia="es-ES"/>
        </w:rPr>
      </w:pPr>
    </w:p>
    <w:p w:rsidR="009A3DA9" w:rsidRPr="00D24EE6" w:rsidRDefault="009A3DA9" w:rsidP="00D24EE6">
      <w:pPr>
        <w:spacing w:after="0" w:line="276" w:lineRule="auto"/>
        <w:jc w:val="both"/>
        <w:rPr>
          <w:rFonts w:eastAsia="Times New Roman" w:cstheme="minorHAnsi"/>
          <w:sz w:val="24"/>
          <w:szCs w:val="24"/>
          <w:u w:val="single"/>
          <w:lang w:val="es-ES" w:eastAsia="es-ES"/>
        </w:rPr>
      </w:pPr>
      <w:r w:rsidRPr="00D24EE6">
        <w:rPr>
          <w:rFonts w:eastAsia="Times New Roman" w:cstheme="minorHAnsi"/>
          <w:sz w:val="24"/>
          <w:szCs w:val="24"/>
          <w:u w:val="single"/>
          <w:lang w:val="es-ES" w:eastAsia="es-ES"/>
        </w:rPr>
        <w:t>La Enfermedad Celíaca en Chile:</w:t>
      </w:r>
    </w:p>
    <w:p w:rsidR="009A3DA9" w:rsidRPr="00D24EE6" w:rsidRDefault="009A3DA9"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Según la “</w:t>
      </w:r>
      <w:bookmarkStart w:id="2" w:name="_Hlk16275338"/>
      <w:r w:rsidRPr="00D24EE6">
        <w:rPr>
          <w:rFonts w:eastAsia="Times New Roman" w:cstheme="minorHAnsi"/>
          <w:sz w:val="24"/>
          <w:szCs w:val="24"/>
          <w:lang w:val="es-ES" w:eastAsia="es-ES"/>
        </w:rPr>
        <w:t xml:space="preserve">Guía de Práctica Clínicas </w:t>
      </w:r>
      <w:bookmarkStart w:id="3" w:name="_Hlk16273847"/>
      <w:r w:rsidRPr="00D24EE6">
        <w:rPr>
          <w:rFonts w:eastAsia="Times New Roman" w:cstheme="minorHAnsi"/>
          <w:sz w:val="24"/>
          <w:szCs w:val="24"/>
          <w:lang w:val="es-ES" w:eastAsia="es-ES"/>
        </w:rPr>
        <w:t xml:space="preserve">Búsqueda, Diagnóstico y Tratamiento de la </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Enfermedad Celíaca</w:t>
      </w:r>
      <w:bookmarkEnd w:id="3"/>
      <w:r w:rsidRPr="00D24EE6">
        <w:rPr>
          <w:rFonts w:eastAsia="Times New Roman" w:cstheme="minorHAnsi"/>
          <w:sz w:val="24"/>
          <w:szCs w:val="24"/>
          <w:lang w:val="es-ES" w:eastAsia="es-ES"/>
        </w:rPr>
        <w:t>”, elaborada por el Ministerio de Salud de Chile en el año 2015</w:t>
      </w:r>
      <w:bookmarkEnd w:id="2"/>
      <w:r w:rsidRPr="00D24EE6">
        <w:rPr>
          <w:rFonts w:eastAsia="Times New Roman" w:cstheme="minorHAnsi"/>
          <w:sz w:val="24"/>
          <w:szCs w:val="24"/>
          <w:lang w:val="es-ES" w:eastAsia="es-ES"/>
        </w:rPr>
        <w:t xml:space="preserve">, la prevalencia de EC ha aumentado. Históricamente, la frecuencia se estimaba en base a pacientes que consultaban, habitualmente con síntomas gastrointestinales (hoy </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conocida como presentación clásica), y presentaban daño grave de la mucosa en la</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 xml:space="preserve"> biopsia intestinal; en estas condiciones la prevalencia era de alrededor de 1 en 1.500-3.000 habitantes (en Chile, estudios del INTA realizados en los años 90 calcularon </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 xml:space="preserve">1:1800). Al cambiar la estrategia diagnóstica hacia la llamada “búsqueda activa”, que realiza un tamizaje serológico en los individuos que pertenecen a grupos de riesgo, se ha demostrado que la frecuencia de esta condición es significativamente mayor. En </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 xml:space="preserve">países desarrollados se describen prevalencias de 1 en 50-300 habitantes. En Latino América, la prevalencia total parece ser similar, por ejemplo, 1:37 en México, 1:214 en Brasil y 1:167 en Argentina. </w:t>
      </w:r>
    </w:p>
    <w:p w:rsidR="00D24EE6" w:rsidRDefault="00D24EE6" w:rsidP="00D24EE6">
      <w:pPr>
        <w:spacing w:after="0" w:line="276" w:lineRule="auto"/>
        <w:jc w:val="both"/>
        <w:rPr>
          <w:rFonts w:eastAsia="Times New Roman" w:cstheme="minorHAnsi"/>
          <w:sz w:val="24"/>
          <w:szCs w:val="24"/>
          <w:lang w:val="es-ES" w:eastAsia="es-ES"/>
        </w:rPr>
      </w:pPr>
    </w:p>
    <w:p w:rsidR="000929DF" w:rsidRDefault="000929DF">
      <w:pPr>
        <w:rPr>
          <w:rFonts w:eastAsia="Times New Roman" w:cstheme="minorHAnsi"/>
          <w:sz w:val="24"/>
          <w:szCs w:val="24"/>
          <w:lang w:val="es-ES" w:eastAsia="es-ES"/>
        </w:rPr>
      </w:pPr>
      <w:r>
        <w:rPr>
          <w:rFonts w:eastAsia="Times New Roman" w:cstheme="minorHAnsi"/>
          <w:sz w:val="24"/>
          <w:szCs w:val="24"/>
          <w:lang w:val="es-ES" w:eastAsia="es-ES"/>
        </w:rPr>
        <w:br w:type="page"/>
      </w:r>
    </w:p>
    <w:p w:rsidR="000929DF" w:rsidRDefault="000929DF" w:rsidP="00D24EE6">
      <w:pPr>
        <w:spacing w:after="0" w:line="276" w:lineRule="auto"/>
        <w:jc w:val="both"/>
        <w:rPr>
          <w:rFonts w:eastAsia="Times New Roman" w:cstheme="minorHAnsi"/>
          <w:sz w:val="24"/>
          <w:szCs w:val="24"/>
          <w:lang w:val="es-ES" w:eastAsia="es-ES"/>
        </w:rPr>
      </w:pPr>
    </w:p>
    <w:p w:rsidR="009A3DA9" w:rsidRPr="00D24EE6" w:rsidRDefault="009A3DA9"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La Segunda Encuesta Nacional de Salud hecha en Chile (2009-2010) en mayores de 15 años demostró alrededor de </w:t>
      </w:r>
      <w:r w:rsidRPr="00D24EE6">
        <w:rPr>
          <w:rFonts w:eastAsia="Times New Roman" w:cstheme="minorHAnsi"/>
          <w:b/>
          <w:bCs/>
          <w:sz w:val="24"/>
          <w:szCs w:val="24"/>
          <w:lang w:val="es-ES" w:eastAsia="es-ES"/>
        </w:rPr>
        <w:t>1% de población es TTG positiva (“población susceptible”, que porta o puede desarrollar la enfermedad en el futuro)</w:t>
      </w:r>
      <w:r w:rsidRPr="00D24EE6">
        <w:rPr>
          <w:rFonts w:eastAsia="Times New Roman" w:cstheme="minorHAnsi"/>
          <w:sz w:val="24"/>
          <w:szCs w:val="24"/>
          <w:lang w:val="es-ES" w:eastAsia="es-ES"/>
        </w:rPr>
        <w:t xml:space="preserve">. Al igual que en otros países, </w:t>
      </w:r>
      <w:r w:rsidRPr="00D24EE6">
        <w:rPr>
          <w:rFonts w:eastAsia="Times New Roman" w:cstheme="minorHAnsi"/>
          <w:b/>
          <w:bCs/>
          <w:sz w:val="24"/>
          <w:szCs w:val="24"/>
          <w:lang w:val="es-ES" w:eastAsia="es-ES"/>
        </w:rPr>
        <w:t>la EC está fuertemente subdiagnosticada en nuestro país</w:t>
      </w:r>
      <w:r w:rsidRPr="00D24EE6">
        <w:rPr>
          <w:rFonts w:eastAsia="Times New Roman" w:cstheme="minorHAnsi"/>
          <w:sz w:val="24"/>
          <w:szCs w:val="24"/>
          <w:lang w:val="es-ES" w:eastAsia="es-ES"/>
        </w:rPr>
        <w:t xml:space="preserve">; de los más de 100.000 </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celíacos que se estima que existen, no más de unos pocos miles están diagnosticados y en control.</w:t>
      </w:r>
      <w:r w:rsidRPr="00D24EE6">
        <w:rPr>
          <w:rStyle w:val="Refdenotaalpie"/>
          <w:rFonts w:eastAsia="Times New Roman" w:cstheme="minorHAnsi"/>
          <w:sz w:val="24"/>
          <w:szCs w:val="24"/>
          <w:lang w:val="es-ES" w:eastAsia="es-ES"/>
        </w:rPr>
        <w:footnoteReference w:id="2"/>
      </w:r>
    </w:p>
    <w:p w:rsidR="009A3DA9" w:rsidRPr="00D24EE6" w:rsidRDefault="009A3DA9" w:rsidP="00D24EE6">
      <w:pPr>
        <w:spacing w:after="0" w:line="276" w:lineRule="auto"/>
        <w:jc w:val="both"/>
        <w:rPr>
          <w:rFonts w:eastAsia="Times New Roman" w:cstheme="minorHAnsi"/>
          <w:sz w:val="24"/>
          <w:szCs w:val="24"/>
          <w:lang w:val="es-ES" w:eastAsia="es-ES"/>
        </w:rPr>
      </w:pPr>
    </w:p>
    <w:p w:rsidR="0014532F" w:rsidRPr="00D24EE6" w:rsidRDefault="00DD40FA" w:rsidP="00D24EE6">
      <w:pPr>
        <w:spacing w:after="0" w:line="276" w:lineRule="auto"/>
        <w:jc w:val="both"/>
        <w:rPr>
          <w:rFonts w:eastAsia="Times New Roman" w:cstheme="minorHAnsi"/>
          <w:sz w:val="24"/>
          <w:szCs w:val="24"/>
          <w:u w:val="single"/>
          <w:lang w:val="es-ES" w:eastAsia="es-ES"/>
        </w:rPr>
      </w:pPr>
      <w:r w:rsidRPr="00D24EE6">
        <w:rPr>
          <w:rFonts w:eastAsia="Times New Roman" w:cstheme="minorHAnsi"/>
          <w:sz w:val="24"/>
          <w:szCs w:val="24"/>
          <w:u w:val="single"/>
          <w:lang w:val="es-ES" w:eastAsia="es-ES"/>
        </w:rPr>
        <w:t xml:space="preserve">Diagnóstico y </w:t>
      </w:r>
      <w:r w:rsidR="0014532F" w:rsidRPr="00D24EE6">
        <w:rPr>
          <w:rFonts w:eastAsia="Times New Roman" w:cstheme="minorHAnsi"/>
          <w:sz w:val="24"/>
          <w:szCs w:val="24"/>
          <w:u w:val="single"/>
          <w:lang w:val="es-ES" w:eastAsia="es-ES"/>
        </w:rPr>
        <w:t>tratamiento de la Enfermedad Celiaca:</w:t>
      </w:r>
    </w:p>
    <w:p w:rsidR="00DD40FA" w:rsidRPr="00D24EE6" w:rsidRDefault="009A3DA9" w:rsidP="00BA0C98">
      <w:pPr>
        <w:spacing w:after="0" w:line="276" w:lineRule="auto"/>
        <w:jc w:val="both"/>
        <w:rPr>
          <w:rFonts w:eastAsia="Times New Roman" w:cstheme="minorHAnsi"/>
          <w:sz w:val="24"/>
          <w:szCs w:val="24"/>
          <w:lang w:val="es-ES" w:eastAsia="es-ES"/>
        </w:rPr>
      </w:pPr>
      <w:r w:rsidRPr="00D24EE6">
        <w:rPr>
          <w:rFonts w:eastAsia="Times New Roman" w:cstheme="minorHAnsi"/>
          <w:b/>
          <w:bCs/>
          <w:sz w:val="24"/>
          <w:szCs w:val="24"/>
          <w:lang w:val="es-ES" w:eastAsia="es-ES"/>
        </w:rPr>
        <w:t>Diagnóstico:</w:t>
      </w:r>
      <w:r w:rsidRPr="00D24EE6">
        <w:rPr>
          <w:rFonts w:eastAsia="Times New Roman" w:cstheme="minorHAnsi"/>
          <w:sz w:val="24"/>
          <w:szCs w:val="24"/>
          <w:lang w:val="es-ES" w:eastAsia="es-ES"/>
        </w:rPr>
        <w:t xml:space="preserve"> </w:t>
      </w:r>
      <w:r w:rsidR="00BA0C98">
        <w:rPr>
          <w:rFonts w:eastAsia="Times New Roman" w:cstheme="minorHAnsi"/>
          <w:sz w:val="24"/>
          <w:szCs w:val="24"/>
          <w:lang w:val="es-ES" w:eastAsia="es-ES"/>
        </w:rPr>
        <w:t xml:space="preserve">la EC </w:t>
      </w:r>
      <w:r w:rsidR="00BA0C98" w:rsidRPr="00BA0C98">
        <w:rPr>
          <w:rFonts w:eastAsia="Times New Roman" w:cstheme="minorHAnsi"/>
          <w:sz w:val="24"/>
          <w:szCs w:val="24"/>
          <w:lang w:val="es-ES" w:eastAsia="es-ES"/>
        </w:rPr>
        <w:t>es de muy difícil diagnóstico, como</w:t>
      </w:r>
      <w:r w:rsidR="00BA0C98">
        <w:rPr>
          <w:rFonts w:eastAsia="Times New Roman" w:cstheme="minorHAnsi"/>
          <w:sz w:val="24"/>
          <w:szCs w:val="24"/>
          <w:lang w:val="es-ES" w:eastAsia="es-ES"/>
        </w:rPr>
        <w:t xml:space="preserve"> c</w:t>
      </w:r>
      <w:r w:rsidR="00BA0C98" w:rsidRPr="00BA0C98">
        <w:rPr>
          <w:rFonts w:eastAsia="Times New Roman" w:cstheme="minorHAnsi"/>
          <w:sz w:val="24"/>
          <w:szCs w:val="24"/>
          <w:lang w:val="es-ES" w:eastAsia="es-ES"/>
        </w:rPr>
        <w:t>onsecuencia que sus síntomas pueden confundirse con otras patologías que</w:t>
      </w:r>
      <w:r w:rsidR="00BA0C98">
        <w:rPr>
          <w:rFonts w:eastAsia="Times New Roman" w:cstheme="minorHAnsi"/>
          <w:sz w:val="24"/>
          <w:szCs w:val="24"/>
          <w:lang w:val="es-ES" w:eastAsia="es-ES"/>
        </w:rPr>
        <w:t xml:space="preserve"> </w:t>
      </w:r>
      <w:r w:rsidR="00BA0C98" w:rsidRPr="00BA0C98">
        <w:rPr>
          <w:rFonts w:eastAsia="Times New Roman" w:cstheme="minorHAnsi"/>
          <w:sz w:val="24"/>
          <w:szCs w:val="24"/>
          <w:lang w:val="es-ES" w:eastAsia="es-ES"/>
        </w:rPr>
        <w:t>afectan la zona abdominal intestinal</w:t>
      </w:r>
      <w:r w:rsidR="00BA0C98">
        <w:rPr>
          <w:rFonts w:eastAsia="Times New Roman" w:cstheme="minorHAnsi"/>
          <w:sz w:val="24"/>
          <w:szCs w:val="24"/>
          <w:lang w:val="es-ES" w:eastAsia="es-ES"/>
        </w:rPr>
        <w:t>. Se debe realizar</w:t>
      </w:r>
      <w:r w:rsidR="00DD40FA" w:rsidRPr="00D24EE6">
        <w:rPr>
          <w:rFonts w:eastAsia="Times New Roman" w:cstheme="minorHAnsi"/>
          <w:sz w:val="24"/>
          <w:szCs w:val="24"/>
          <w:lang w:val="es-ES" w:eastAsia="es-ES"/>
        </w:rPr>
        <w:t xml:space="preserve"> la toma de análisis de sangre para la detección de anticuerpos específicos seguido de una endoscopia y biopsias del intestino delgado que permitirá determinar el daño inflamatorio típico de la enfermedad celiaca no tratada.</w:t>
      </w:r>
    </w:p>
    <w:p w:rsidR="00DD40FA" w:rsidRPr="00D24EE6" w:rsidRDefault="00DD40FA"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Los exámenes de sangre o marcadores serológicos ampliamente utilizados porque son altamente sensible y específico para el diagnóstico, son</w:t>
      </w:r>
      <w:r w:rsidR="00094265" w:rsidRPr="00D24EE6">
        <w:rPr>
          <w:rFonts w:eastAsia="Times New Roman" w:cstheme="minorHAnsi"/>
          <w:sz w:val="24"/>
          <w:szCs w:val="24"/>
          <w:lang w:val="es-ES" w:eastAsia="es-ES"/>
        </w:rPr>
        <w:t xml:space="preserve"> </w:t>
      </w:r>
      <w:r w:rsidRPr="00D24EE6">
        <w:rPr>
          <w:rFonts w:eastAsia="Times New Roman" w:cstheme="minorHAnsi"/>
          <w:sz w:val="24"/>
          <w:szCs w:val="24"/>
          <w:lang w:val="es-ES" w:eastAsia="es-ES"/>
        </w:rPr>
        <w:t xml:space="preserve">Anticuerpos </w:t>
      </w:r>
      <w:proofErr w:type="spellStart"/>
      <w:r w:rsidRPr="00D24EE6">
        <w:rPr>
          <w:rFonts w:eastAsia="Times New Roman" w:cstheme="minorHAnsi"/>
          <w:sz w:val="24"/>
          <w:szCs w:val="24"/>
          <w:lang w:val="es-ES" w:eastAsia="es-ES"/>
        </w:rPr>
        <w:t>IgA</w:t>
      </w:r>
      <w:proofErr w:type="spellEnd"/>
      <w:r w:rsidRPr="00D24EE6">
        <w:rPr>
          <w:rFonts w:eastAsia="Times New Roman" w:cstheme="minorHAnsi"/>
          <w:sz w:val="24"/>
          <w:szCs w:val="24"/>
          <w:lang w:val="es-ES" w:eastAsia="es-ES"/>
        </w:rPr>
        <w:t xml:space="preserve"> anti-</w:t>
      </w:r>
      <w:proofErr w:type="spellStart"/>
      <w:r w:rsidRPr="00D24EE6">
        <w:rPr>
          <w:rFonts w:eastAsia="Times New Roman" w:cstheme="minorHAnsi"/>
          <w:sz w:val="24"/>
          <w:szCs w:val="24"/>
          <w:lang w:val="es-ES" w:eastAsia="es-ES"/>
        </w:rPr>
        <w:t>transglutaminasa</w:t>
      </w:r>
      <w:proofErr w:type="spellEnd"/>
      <w:r w:rsidRPr="00D24EE6">
        <w:rPr>
          <w:rFonts w:eastAsia="Times New Roman" w:cstheme="minorHAnsi"/>
          <w:sz w:val="24"/>
          <w:szCs w:val="24"/>
          <w:lang w:val="es-ES" w:eastAsia="es-ES"/>
        </w:rPr>
        <w:t xml:space="preserve"> tisular (</w:t>
      </w:r>
      <w:proofErr w:type="spellStart"/>
      <w:r w:rsidRPr="00D24EE6">
        <w:rPr>
          <w:rFonts w:eastAsia="Times New Roman" w:cstheme="minorHAnsi"/>
          <w:sz w:val="24"/>
          <w:szCs w:val="24"/>
          <w:lang w:val="es-ES" w:eastAsia="es-ES"/>
        </w:rPr>
        <w:t>tTG</w:t>
      </w:r>
      <w:proofErr w:type="spellEnd"/>
      <w:r w:rsidRPr="00D24EE6">
        <w:rPr>
          <w:rFonts w:eastAsia="Times New Roman" w:cstheme="minorHAnsi"/>
          <w:sz w:val="24"/>
          <w:szCs w:val="24"/>
          <w:lang w:val="es-ES" w:eastAsia="es-ES"/>
        </w:rPr>
        <w:t>) (código Fonasa 0305181)</w:t>
      </w:r>
      <w:r w:rsidR="00094265" w:rsidRPr="00D24EE6">
        <w:rPr>
          <w:rFonts w:eastAsia="Times New Roman" w:cstheme="minorHAnsi"/>
          <w:sz w:val="24"/>
          <w:szCs w:val="24"/>
          <w:lang w:val="es-ES" w:eastAsia="es-ES"/>
        </w:rPr>
        <w:t xml:space="preserve">; </w:t>
      </w:r>
      <w:r w:rsidRPr="00D24EE6">
        <w:rPr>
          <w:rFonts w:eastAsia="Times New Roman" w:cstheme="minorHAnsi"/>
          <w:sz w:val="24"/>
          <w:szCs w:val="24"/>
          <w:lang w:val="es-ES" w:eastAsia="es-ES"/>
        </w:rPr>
        <w:t xml:space="preserve">Anticuerpos </w:t>
      </w:r>
      <w:proofErr w:type="spellStart"/>
      <w:r w:rsidRPr="00D24EE6">
        <w:rPr>
          <w:rFonts w:eastAsia="Times New Roman" w:cstheme="minorHAnsi"/>
          <w:sz w:val="24"/>
          <w:szCs w:val="24"/>
          <w:lang w:val="es-ES" w:eastAsia="es-ES"/>
        </w:rPr>
        <w:t>IgA</w:t>
      </w:r>
      <w:proofErr w:type="spellEnd"/>
      <w:r w:rsidRPr="00D24EE6">
        <w:rPr>
          <w:rFonts w:eastAsia="Times New Roman" w:cstheme="minorHAnsi"/>
          <w:sz w:val="24"/>
          <w:szCs w:val="24"/>
          <w:lang w:val="es-ES" w:eastAsia="es-ES"/>
        </w:rPr>
        <w:t xml:space="preserve"> anti-</w:t>
      </w:r>
      <w:proofErr w:type="spellStart"/>
      <w:r w:rsidRPr="00D24EE6">
        <w:rPr>
          <w:rFonts w:eastAsia="Times New Roman" w:cstheme="minorHAnsi"/>
          <w:sz w:val="24"/>
          <w:szCs w:val="24"/>
          <w:lang w:val="es-ES" w:eastAsia="es-ES"/>
        </w:rPr>
        <w:t>endomisio</w:t>
      </w:r>
      <w:proofErr w:type="spellEnd"/>
      <w:r w:rsidRPr="00D24EE6">
        <w:rPr>
          <w:rFonts w:eastAsia="Times New Roman" w:cstheme="minorHAnsi"/>
          <w:sz w:val="24"/>
          <w:szCs w:val="24"/>
          <w:lang w:val="es-ES" w:eastAsia="es-ES"/>
        </w:rPr>
        <w:t xml:space="preserve"> (</w:t>
      </w:r>
      <w:proofErr w:type="spellStart"/>
      <w:r w:rsidRPr="00D24EE6">
        <w:rPr>
          <w:rFonts w:eastAsia="Times New Roman" w:cstheme="minorHAnsi"/>
          <w:sz w:val="24"/>
          <w:szCs w:val="24"/>
          <w:lang w:val="es-ES" w:eastAsia="es-ES"/>
        </w:rPr>
        <w:t>IgAEMA</w:t>
      </w:r>
      <w:proofErr w:type="spellEnd"/>
      <w:r w:rsidRPr="00D24EE6">
        <w:rPr>
          <w:rFonts w:eastAsia="Times New Roman" w:cstheme="minorHAnsi"/>
          <w:sz w:val="24"/>
          <w:szCs w:val="24"/>
          <w:lang w:val="es-ES" w:eastAsia="es-ES"/>
        </w:rPr>
        <w:t>) (código Fonasa 0305081)</w:t>
      </w:r>
      <w:r w:rsidR="00094265" w:rsidRPr="00D24EE6">
        <w:rPr>
          <w:rFonts w:eastAsia="Times New Roman" w:cstheme="minorHAnsi"/>
          <w:sz w:val="24"/>
          <w:szCs w:val="24"/>
          <w:lang w:val="es-ES" w:eastAsia="es-ES"/>
        </w:rPr>
        <w:t xml:space="preserve"> e </w:t>
      </w:r>
      <w:proofErr w:type="spellStart"/>
      <w:r w:rsidRPr="00D24EE6">
        <w:rPr>
          <w:rFonts w:eastAsia="Times New Roman" w:cstheme="minorHAnsi"/>
          <w:sz w:val="24"/>
          <w:szCs w:val="24"/>
          <w:lang w:val="es-ES" w:eastAsia="es-ES"/>
        </w:rPr>
        <w:t>Inmunoglubulina</w:t>
      </w:r>
      <w:proofErr w:type="spellEnd"/>
      <w:r w:rsidRPr="00D24EE6">
        <w:rPr>
          <w:rFonts w:eastAsia="Times New Roman" w:cstheme="minorHAnsi"/>
          <w:sz w:val="24"/>
          <w:szCs w:val="24"/>
          <w:lang w:val="es-ES" w:eastAsia="es-ES"/>
        </w:rPr>
        <w:t xml:space="preserve"> sérica A total (</w:t>
      </w:r>
      <w:proofErr w:type="spellStart"/>
      <w:r w:rsidRPr="00D24EE6">
        <w:rPr>
          <w:rFonts w:eastAsia="Times New Roman" w:cstheme="minorHAnsi"/>
          <w:sz w:val="24"/>
          <w:szCs w:val="24"/>
          <w:lang w:val="es-ES" w:eastAsia="es-ES"/>
        </w:rPr>
        <w:t>IgA</w:t>
      </w:r>
      <w:proofErr w:type="spellEnd"/>
      <w:r w:rsidRPr="00D24EE6">
        <w:rPr>
          <w:rFonts w:eastAsia="Times New Roman" w:cstheme="minorHAnsi"/>
          <w:sz w:val="24"/>
          <w:szCs w:val="24"/>
          <w:lang w:val="es-ES" w:eastAsia="es-ES"/>
        </w:rPr>
        <w:t xml:space="preserve">) y/o </w:t>
      </w:r>
      <w:proofErr w:type="spellStart"/>
      <w:r w:rsidRPr="00D24EE6">
        <w:rPr>
          <w:rFonts w:eastAsia="Times New Roman" w:cstheme="minorHAnsi"/>
          <w:sz w:val="24"/>
          <w:szCs w:val="24"/>
          <w:lang w:val="es-ES" w:eastAsia="es-ES"/>
        </w:rPr>
        <w:t>Ig</w:t>
      </w:r>
      <w:proofErr w:type="spellEnd"/>
      <w:r w:rsidRPr="00D24EE6">
        <w:rPr>
          <w:rFonts w:eastAsia="Times New Roman" w:cstheme="minorHAnsi"/>
          <w:sz w:val="24"/>
          <w:szCs w:val="24"/>
          <w:lang w:val="es-ES" w:eastAsia="es-ES"/>
        </w:rPr>
        <w:t xml:space="preserve"> G</w:t>
      </w:r>
      <w:r w:rsidR="00522D31" w:rsidRPr="00D24EE6">
        <w:rPr>
          <w:rFonts w:eastAsia="Times New Roman" w:cstheme="minorHAnsi"/>
          <w:sz w:val="24"/>
          <w:szCs w:val="24"/>
          <w:lang w:val="es-ES" w:eastAsia="es-ES"/>
        </w:rPr>
        <w:t>.</w:t>
      </w:r>
    </w:p>
    <w:p w:rsidR="00DD40FA" w:rsidRPr="00D24EE6" w:rsidRDefault="00DD40FA"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Sin embargo, la biopsia intestinal sigue siendo el examen decidor y confirmatorio para</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 xml:space="preserve"> el diagnóstico de la Enfermedad celiaca. Sin biopsia intestinal positiva, no hay </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diagnóstico de enfermedad celíaca.</w:t>
      </w:r>
    </w:p>
    <w:p w:rsidR="00DD40FA" w:rsidRPr="00D24EE6" w:rsidRDefault="00DD40FA" w:rsidP="00D24EE6">
      <w:pPr>
        <w:spacing w:after="0" w:line="276" w:lineRule="auto"/>
        <w:jc w:val="both"/>
        <w:rPr>
          <w:rFonts w:eastAsia="Times New Roman" w:cstheme="minorHAnsi"/>
          <w:sz w:val="24"/>
          <w:szCs w:val="24"/>
          <w:lang w:val="es-ES" w:eastAsia="es-ES"/>
        </w:rPr>
      </w:pPr>
    </w:p>
    <w:p w:rsidR="00DD40FA" w:rsidRPr="00D24EE6" w:rsidRDefault="00DD40FA" w:rsidP="00D24EE6">
      <w:pPr>
        <w:spacing w:after="0" w:line="276" w:lineRule="auto"/>
        <w:jc w:val="both"/>
        <w:rPr>
          <w:rFonts w:eastAsia="Times New Roman" w:cstheme="minorHAnsi"/>
          <w:b/>
          <w:bCs/>
          <w:sz w:val="24"/>
          <w:szCs w:val="24"/>
          <w:lang w:val="es-ES" w:eastAsia="es-ES"/>
        </w:rPr>
      </w:pPr>
      <w:r w:rsidRPr="00D24EE6">
        <w:rPr>
          <w:rFonts w:eastAsia="Times New Roman" w:cstheme="minorHAnsi"/>
          <w:b/>
          <w:bCs/>
          <w:sz w:val="24"/>
          <w:szCs w:val="24"/>
          <w:lang w:val="es-ES" w:eastAsia="es-ES"/>
        </w:rPr>
        <w:t>Tratamiento:</w:t>
      </w:r>
      <w:r w:rsidR="00522D31" w:rsidRPr="00D24EE6">
        <w:rPr>
          <w:rFonts w:eastAsia="Times New Roman" w:cstheme="minorHAnsi"/>
          <w:b/>
          <w:bCs/>
          <w:sz w:val="24"/>
          <w:szCs w:val="24"/>
          <w:lang w:val="es-ES" w:eastAsia="es-ES"/>
        </w:rPr>
        <w:t xml:space="preserve"> UNA DIETA LIBRE DE GLUTEN</w:t>
      </w:r>
      <w:r w:rsidR="009A3DA9" w:rsidRPr="00D24EE6">
        <w:rPr>
          <w:rFonts w:eastAsia="Times New Roman" w:cstheme="minorHAnsi"/>
          <w:b/>
          <w:bCs/>
          <w:sz w:val="24"/>
          <w:szCs w:val="24"/>
          <w:lang w:val="es-ES" w:eastAsia="es-ES"/>
        </w:rPr>
        <w:t>.</w:t>
      </w:r>
    </w:p>
    <w:p w:rsidR="00522D31" w:rsidRPr="00D24EE6" w:rsidRDefault="00522D31"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Una vez confirmado el diagnóstico de EC, </w:t>
      </w:r>
      <w:bookmarkStart w:id="5" w:name="_Hlk16463859"/>
      <w:r w:rsidRPr="00D24EE6">
        <w:rPr>
          <w:rFonts w:eastAsia="Times New Roman" w:cstheme="minorHAnsi"/>
          <w:sz w:val="24"/>
          <w:szCs w:val="24"/>
          <w:lang w:val="es-ES" w:eastAsia="es-ES"/>
        </w:rPr>
        <w:t>el único tratamiento para un celíaco es adoptar una Dieta Libre de Gluten (DLG) de por vida, estricta</w:t>
      </w:r>
      <w:r w:rsidR="00F63194" w:rsidRPr="00D24EE6">
        <w:rPr>
          <w:rFonts w:eastAsia="Times New Roman" w:cstheme="minorHAnsi"/>
          <w:sz w:val="24"/>
          <w:szCs w:val="24"/>
          <w:lang w:val="es-ES" w:eastAsia="es-ES"/>
        </w:rPr>
        <w:t xml:space="preserve"> y </w:t>
      </w:r>
      <w:r w:rsidRPr="00D24EE6">
        <w:rPr>
          <w:rFonts w:eastAsia="Times New Roman" w:cstheme="minorHAnsi"/>
          <w:sz w:val="24"/>
          <w:szCs w:val="24"/>
          <w:lang w:val="es-ES" w:eastAsia="es-ES"/>
        </w:rPr>
        <w:t xml:space="preserve">permanente. </w:t>
      </w:r>
      <w:bookmarkEnd w:id="5"/>
      <w:r w:rsidR="000A6951" w:rsidRPr="00D24EE6">
        <w:rPr>
          <w:rFonts w:eastAsia="Times New Roman" w:cstheme="minorHAnsi"/>
          <w:b/>
          <w:bCs/>
          <w:sz w:val="24"/>
          <w:szCs w:val="24"/>
          <w:lang w:val="es-ES" w:eastAsia="es-ES"/>
        </w:rPr>
        <w:t>“</w:t>
      </w:r>
      <w:r w:rsidRPr="00D24EE6">
        <w:rPr>
          <w:rFonts w:eastAsia="Times New Roman" w:cstheme="minorHAnsi"/>
          <w:b/>
          <w:bCs/>
          <w:sz w:val="24"/>
          <w:szCs w:val="24"/>
          <w:lang w:val="es-ES" w:eastAsia="es-ES"/>
        </w:rPr>
        <w:t>No existen medicamentos para tratar la EC</w:t>
      </w:r>
      <w:r w:rsidR="000A6951" w:rsidRPr="00D24EE6">
        <w:rPr>
          <w:rFonts w:eastAsia="Times New Roman" w:cstheme="minorHAnsi"/>
          <w:b/>
          <w:bCs/>
          <w:sz w:val="24"/>
          <w:szCs w:val="24"/>
          <w:lang w:val="es-ES" w:eastAsia="es-ES"/>
        </w:rPr>
        <w:t>”</w:t>
      </w:r>
      <w:r w:rsidRPr="00D24EE6">
        <w:rPr>
          <w:rFonts w:eastAsia="Times New Roman" w:cstheme="minorHAnsi"/>
          <w:sz w:val="24"/>
          <w:szCs w:val="24"/>
          <w:lang w:val="es-ES" w:eastAsia="es-ES"/>
        </w:rPr>
        <w:t>.</w:t>
      </w:r>
      <w:r w:rsidRPr="00D24EE6">
        <w:rPr>
          <w:rStyle w:val="Refdenotaalpie"/>
          <w:rFonts w:eastAsia="Times New Roman" w:cstheme="minorHAnsi"/>
          <w:sz w:val="24"/>
          <w:szCs w:val="24"/>
          <w:lang w:val="es-ES" w:eastAsia="es-ES"/>
        </w:rPr>
        <w:footnoteReference w:id="3"/>
      </w:r>
    </w:p>
    <w:p w:rsidR="00522D31" w:rsidRPr="00D24EE6" w:rsidRDefault="00522D31" w:rsidP="00D24EE6">
      <w:pPr>
        <w:spacing w:after="0" w:line="276" w:lineRule="auto"/>
        <w:jc w:val="both"/>
        <w:rPr>
          <w:rFonts w:eastAsia="Times New Roman" w:cstheme="minorHAnsi"/>
          <w:sz w:val="24"/>
          <w:szCs w:val="24"/>
          <w:lang w:val="es-ES" w:eastAsia="es-ES"/>
        </w:rPr>
      </w:pPr>
    </w:p>
    <w:p w:rsidR="00522D31" w:rsidRPr="00D24EE6" w:rsidRDefault="00522D31"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Con</w:t>
      </w:r>
      <w:r w:rsidR="009009E0" w:rsidRPr="00D24EE6">
        <w:rPr>
          <w:rFonts w:eastAsia="Times New Roman" w:cstheme="minorHAnsi"/>
          <w:sz w:val="24"/>
          <w:szCs w:val="24"/>
          <w:lang w:val="es-ES" w:eastAsia="es-ES"/>
        </w:rPr>
        <w:t xml:space="preserve"> la DLG</w:t>
      </w:r>
      <w:r w:rsidRPr="00D24EE6">
        <w:rPr>
          <w:rFonts w:eastAsia="Times New Roman" w:cstheme="minorHAnsi"/>
          <w:sz w:val="24"/>
          <w:szCs w:val="24"/>
          <w:lang w:val="es-ES" w:eastAsia="es-ES"/>
        </w:rPr>
        <w:t xml:space="preserve">, se consigue la desaparición de los síntomas, la normalización de la serología, es decir la negatividad de los anticuerpos marcadores de la enfermedad, y la </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recuperación de las vellosidades intestinales.</w:t>
      </w:r>
      <w:r w:rsidR="009A3DA9" w:rsidRPr="00D24EE6">
        <w:rPr>
          <w:rFonts w:eastAsia="Times New Roman" w:cstheme="minorHAnsi"/>
          <w:sz w:val="24"/>
          <w:szCs w:val="24"/>
          <w:lang w:val="es-ES" w:eastAsia="es-ES"/>
        </w:rPr>
        <w:t xml:space="preserve"> </w:t>
      </w:r>
      <w:r w:rsidRPr="00D24EE6">
        <w:rPr>
          <w:rFonts w:eastAsia="Times New Roman" w:cstheme="minorHAnsi"/>
          <w:sz w:val="24"/>
          <w:szCs w:val="24"/>
          <w:lang w:val="es-ES" w:eastAsia="es-ES"/>
        </w:rPr>
        <w:t xml:space="preserve">Las funciones del intestino vuelven a su normalidad, disminuyendo las situaciones derivadas de la mala absorción de nutrientes y las reacciones </w:t>
      </w:r>
      <w:proofErr w:type="spellStart"/>
      <w:r w:rsidRPr="00D24EE6">
        <w:rPr>
          <w:rFonts w:eastAsia="Times New Roman" w:cstheme="minorHAnsi"/>
          <w:sz w:val="24"/>
          <w:szCs w:val="24"/>
          <w:lang w:val="es-ES" w:eastAsia="es-ES"/>
        </w:rPr>
        <w:t>inmunocelulares</w:t>
      </w:r>
      <w:proofErr w:type="spellEnd"/>
      <w:r w:rsidRPr="00D24EE6">
        <w:rPr>
          <w:rFonts w:eastAsia="Times New Roman" w:cstheme="minorHAnsi"/>
          <w:sz w:val="24"/>
          <w:szCs w:val="24"/>
          <w:lang w:val="es-ES" w:eastAsia="es-ES"/>
        </w:rPr>
        <w:t xml:space="preserve"> que generan complicaciones en otros órganos del cuerpo.</w:t>
      </w:r>
    </w:p>
    <w:p w:rsidR="00522D31" w:rsidRPr="00D24EE6" w:rsidRDefault="00522D31" w:rsidP="00D24EE6">
      <w:pPr>
        <w:spacing w:after="0" w:line="276" w:lineRule="auto"/>
        <w:jc w:val="both"/>
        <w:rPr>
          <w:rFonts w:eastAsia="Times New Roman" w:cstheme="minorHAnsi"/>
          <w:sz w:val="24"/>
          <w:szCs w:val="24"/>
          <w:lang w:val="es-ES" w:eastAsia="es-ES"/>
        </w:rPr>
      </w:pPr>
    </w:p>
    <w:p w:rsidR="000929DF" w:rsidRDefault="000929DF">
      <w:pPr>
        <w:rPr>
          <w:rFonts w:eastAsia="Times New Roman" w:cstheme="minorHAnsi"/>
          <w:sz w:val="24"/>
          <w:szCs w:val="24"/>
          <w:lang w:val="es-ES" w:eastAsia="es-ES"/>
        </w:rPr>
      </w:pPr>
      <w:r>
        <w:rPr>
          <w:rFonts w:eastAsia="Times New Roman" w:cstheme="minorHAnsi"/>
          <w:sz w:val="24"/>
          <w:szCs w:val="24"/>
          <w:lang w:val="es-ES" w:eastAsia="es-ES"/>
        </w:rPr>
        <w:br w:type="page"/>
      </w:r>
    </w:p>
    <w:p w:rsidR="000929DF" w:rsidRDefault="000929DF" w:rsidP="00D24EE6">
      <w:pPr>
        <w:spacing w:after="0" w:line="276" w:lineRule="auto"/>
        <w:jc w:val="both"/>
        <w:rPr>
          <w:rFonts w:eastAsia="Times New Roman" w:cstheme="minorHAnsi"/>
          <w:sz w:val="24"/>
          <w:szCs w:val="24"/>
          <w:lang w:val="es-ES" w:eastAsia="es-ES"/>
        </w:rPr>
      </w:pPr>
    </w:p>
    <w:p w:rsidR="00021012" w:rsidRPr="00D24EE6" w:rsidRDefault="00522D31"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Además, es relevante tener en cuenta que el consumo de gluten en forma continua, aún </w:t>
      </w:r>
      <w:proofErr w:type="gramStart"/>
      <w:r w:rsidRPr="00D24EE6">
        <w:rPr>
          <w:rFonts w:eastAsia="Times New Roman" w:cstheme="minorHAnsi"/>
          <w:sz w:val="24"/>
          <w:szCs w:val="24"/>
          <w:lang w:val="es-ES" w:eastAsia="es-ES"/>
        </w:rPr>
        <w:t>en</w:t>
      </w:r>
      <w:proofErr w:type="gramEnd"/>
      <w:r w:rsidRPr="00D24EE6">
        <w:rPr>
          <w:rFonts w:eastAsia="Times New Roman" w:cstheme="minorHAnsi"/>
          <w:sz w:val="24"/>
          <w:szCs w:val="24"/>
          <w:lang w:val="es-ES" w:eastAsia="es-ES"/>
        </w:rPr>
        <w:t xml:space="preserve"> mínimas cantidades, voluntario o involuntario, daña las vellosidades intestinales incluso en ausencia de síntomas, provocando alteraciones y/o trastornos autoinmunes y desarrollo, a largo plazo, de otras enfermedades y también de procesos malignos.</w:t>
      </w:r>
      <w:r w:rsidR="000A6951" w:rsidRPr="00D24EE6">
        <w:rPr>
          <w:rStyle w:val="Refdenotaalpie"/>
          <w:rFonts w:eastAsia="Times New Roman" w:cstheme="minorHAnsi"/>
          <w:sz w:val="24"/>
          <w:szCs w:val="24"/>
          <w:lang w:val="es-ES" w:eastAsia="es-ES"/>
        </w:rPr>
        <w:footnoteReference w:id="4"/>
      </w:r>
      <w:r w:rsidR="005A7F0C" w:rsidRPr="00D24EE6">
        <w:rPr>
          <w:rFonts w:eastAsia="Times New Roman" w:cstheme="minorHAnsi"/>
          <w:sz w:val="24"/>
          <w:szCs w:val="24"/>
          <w:lang w:val="es-ES" w:eastAsia="es-ES"/>
        </w:rPr>
        <w:t xml:space="preserve"> </w:t>
      </w:r>
    </w:p>
    <w:p w:rsidR="00021012" w:rsidRPr="00D24EE6" w:rsidRDefault="00021012" w:rsidP="00D24EE6">
      <w:pPr>
        <w:spacing w:after="0" w:line="276" w:lineRule="auto"/>
        <w:jc w:val="both"/>
        <w:rPr>
          <w:rFonts w:eastAsia="Times New Roman" w:cstheme="minorHAnsi"/>
          <w:sz w:val="24"/>
          <w:szCs w:val="24"/>
          <w:lang w:val="es-ES" w:eastAsia="es-ES"/>
        </w:rPr>
      </w:pPr>
    </w:p>
    <w:p w:rsidR="00B17EB5" w:rsidRPr="00D24EE6" w:rsidRDefault="00094265"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Por lo anterior, </w:t>
      </w:r>
      <w:r w:rsidR="00021012" w:rsidRPr="00D24EE6">
        <w:rPr>
          <w:rFonts w:eastAsia="Times New Roman" w:cstheme="minorHAnsi"/>
          <w:sz w:val="24"/>
          <w:szCs w:val="24"/>
          <w:lang w:val="es-ES" w:eastAsia="es-ES"/>
        </w:rPr>
        <w:t xml:space="preserve">es absolutamente necesario vigilar la composición de los alimentos a consumir, debiendo corroborar a lo menos lo siguiente: </w:t>
      </w:r>
    </w:p>
    <w:p w:rsidR="00021012" w:rsidRPr="00D24EE6" w:rsidRDefault="00021012" w:rsidP="00D24EE6">
      <w:pPr>
        <w:spacing w:after="0" w:line="276" w:lineRule="auto"/>
        <w:jc w:val="both"/>
        <w:rPr>
          <w:rFonts w:eastAsia="Times New Roman" w:cstheme="minorHAnsi"/>
          <w:sz w:val="24"/>
          <w:szCs w:val="24"/>
          <w:lang w:val="es-ES" w:eastAsia="es-ES"/>
        </w:rPr>
      </w:pPr>
    </w:p>
    <w:p w:rsidR="00B17EB5" w:rsidRPr="00D24EE6" w:rsidRDefault="00021012" w:rsidP="00D24EE6">
      <w:pPr>
        <w:pStyle w:val="Prrafodelista"/>
        <w:numPr>
          <w:ilvl w:val="0"/>
          <w:numId w:val="8"/>
        </w:numPr>
        <w:spacing w:after="0" w:line="276" w:lineRule="auto"/>
        <w:jc w:val="both"/>
        <w:rPr>
          <w:rFonts w:eastAsia="Times New Roman" w:cstheme="minorHAnsi"/>
          <w:sz w:val="24"/>
          <w:szCs w:val="24"/>
          <w:lang w:val="es-ES" w:eastAsia="es-ES"/>
        </w:rPr>
      </w:pPr>
      <w:r w:rsidRPr="00D24EE6">
        <w:rPr>
          <w:rFonts w:eastAsia="Times New Roman" w:cstheme="minorHAnsi"/>
          <w:b/>
          <w:bCs/>
          <w:sz w:val="24"/>
          <w:szCs w:val="24"/>
          <w:lang w:val="es-ES" w:eastAsia="es-ES"/>
        </w:rPr>
        <w:t>Punto de corte</w:t>
      </w:r>
      <w:r w:rsidRPr="00D24EE6">
        <w:rPr>
          <w:rFonts w:eastAsia="Times New Roman" w:cstheme="minorHAnsi"/>
          <w:sz w:val="24"/>
          <w:szCs w:val="24"/>
          <w:lang w:val="es-ES" w:eastAsia="es-ES"/>
        </w:rPr>
        <w:t xml:space="preserve">, relativo a </w:t>
      </w:r>
      <w:r w:rsidR="005A7F0C" w:rsidRPr="00D24EE6">
        <w:rPr>
          <w:rFonts w:eastAsia="Times New Roman" w:cstheme="minorHAnsi"/>
          <w:sz w:val="24"/>
          <w:szCs w:val="24"/>
          <w:lang w:val="es-ES" w:eastAsia="es-ES"/>
        </w:rPr>
        <w:t xml:space="preserve">la cantidad de gluten medida en un producto final elaborado sea menor </w:t>
      </w:r>
      <w:r w:rsidR="00B17EB5" w:rsidRPr="00D24EE6">
        <w:rPr>
          <w:rFonts w:eastAsia="Times New Roman" w:cstheme="minorHAnsi"/>
          <w:sz w:val="24"/>
          <w:szCs w:val="24"/>
          <w:lang w:val="es-ES" w:eastAsia="es-ES"/>
        </w:rPr>
        <w:t>a la establecida como tolerable</w:t>
      </w:r>
      <w:r w:rsidR="00CB1320" w:rsidRPr="00D24EE6">
        <w:rPr>
          <w:rFonts w:eastAsia="Times New Roman" w:cstheme="minorHAnsi"/>
          <w:sz w:val="24"/>
          <w:szCs w:val="24"/>
          <w:lang w:val="es-ES" w:eastAsia="es-ES"/>
        </w:rPr>
        <w:t xml:space="preserve"> (3ppm)</w:t>
      </w:r>
      <w:r w:rsidR="00727526" w:rsidRPr="00D24EE6">
        <w:rPr>
          <w:rStyle w:val="Refdenotaalpie"/>
          <w:rFonts w:eastAsia="Times New Roman" w:cstheme="minorHAnsi"/>
          <w:sz w:val="24"/>
          <w:szCs w:val="24"/>
          <w:lang w:val="es-ES" w:eastAsia="es-ES"/>
        </w:rPr>
        <w:footnoteReference w:id="5"/>
      </w:r>
      <w:r w:rsidR="00B17EB5" w:rsidRPr="00D24EE6">
        <w:rPr>
          <w:rFonts w:eastAsia="Times New Roman" w:cstheme="minorHAnsi"/>
          <w:sz w:val="24"/>
          <w:szCs w:val="24"/>
          <w:lang w:val="es-ES" w:eastAsia="es-ES"/>
        </w:rPr>
        <w:t xml:space="preserve">; </w:t>
      </w:r>
    </w:p>
    <w:p w:rsidR="005A7F0C" w:rsidRPr="00D24EE6" w:rsidRDefault="00021012" w:rsidP="00D24EE6">
      <w:pPr>
        <w:pStyle w:val="Prrafodelista"/>
        <w:numPr>
          <w:ilvl w:val="0"/>
          <w:numId w:val="8"/>
        </w:numPr>
        <w:spacing w:after="0" w:line="276" w:lineRule="auto"/>
        <w:jc w:val="both"/>
        <w:rPr>
          <w:rFonts w:eastAsia="Times New Roman" w:cstheme="minorHAnsi"/>
          <w:sz w:val="24"/>
          <w:szCs w:val="24"/>
          <w:lang w:val="es-ES" w:eastAsia="es-ES"/>
        </w:rPr>
      </w:pPr>
      <w:r w:rsidRPr="00D24EE6">
        <w:rPr>
          <w:rFonts w:eastAsia="Times New Roman" w:cstheme="minorHAnsi"/>
          <w:b/>
          <w:bCs/>
          <w:sz w:val="24"/>
          <w:szCs w:val="24"/>
          <w:lang w:val="es-ES" w:eastAsia="es-ES"/>
        </w:rPr>
        <w:t>L</w:t>
      </w:r>
      <w:r w:rsidR="00B17EB5" w:rsidRPr="00D24EE6">
        <w:rPr>
          <w:rFonts w:eastAsia="Times New Roman" w:cstheme="minorHAnsi"/>
          <w:b/>
          <w:bCs/>
          <w:sz w:val="24"/>
          <w:szCs w:val="24"/>
          <w:lang w:val="es-ES" w:eastAsia="es-ES"/>
        </w:rPr>
        <w:t>a contaminación cruzada</w:t>
      </w:r>
      <w:r w:rsidRPr="00D24EE6">
        <w:rPr>
          <w:rFonts w:eastAsia="Times New Roman" w:cstheme="minorHAnsi"/>
          <w:b/>
          <w:bCs/>
          <w:sz w:val="24"/>
          <w:szCs w:val="24"/>
          <w:lang w:val="es-ES" w:eastAsia="es-ES"/>
        </w:rPr>
        <w:t>,</w:t>
      </w:r>
      <w:r w:rsidRPr="00D24EE6">
        <w:rPr>
          <w:rFonts w:eastAsia="Times New Roman" w:cstheme="minorHAnsi"/>
          <w:sz w:val="24"/>
          <w:szCs w:val="24"/>
          <w:lang w:val="es-ES" w:eastAsia="es-ES"/>
        </w:rPr>
        <w:t xml:space="preserve"> la cual</w:t>
      </w:r>
      <w:r w:rsidR="00B17EB5" w:rsidRPr="00D24EE6">
        <w:rPr>
          <w:rFonts w:eastAsia="Times New Roman" w:cstheme="minorHAnsi"/>
          <w:sz w:val="24"/>
          <w:szCs w:val="24"/>
          <w:lang w:val="es-ES" w:eastAsia="es-ES"/>
        </w:rPr>
        <w:t xml:space="preserve"> se produce en dos niveles: a) cuando </w:t>
      </w:r>
      <w:r w:rsidR="000929DF">
        <w:rPr>
          <w:rFonts w:eastAsia="Times New Roman" w:cstheme="minorHAnsi"/>
          <w:sz w:val="24"/>
          <w:szCs w:val="24"/>
          <w:lang w:val="es-ES" w:eastAsia="es-ES"/>
        </w:rPr>
        <w:t xml:space="preserve">  </w:t>
      </w:r>
      <w:r w:rsidR="00B17EB5" w:rsidRPr="00D24EE6">
        <w:rPr>
          <w:rFonts w:eastAsia="Times New Roman" w:cstheme="minorHAnsi"/>
          <w:sz w:val="24"/>
          <w:szCs w:val="24"/>
          <w:lang w:val="es-ES" w:eastAsia="es-ES"/>
        </w:rPr>
        <w:t>productos procesados se contaminan en su línea de producción, por compartir equipos por donde han pasado otros productos con gluten, y b) cuando la preparación de alimentos en la casa permite la contaminación del plato libre de gluten;</w:t>
      </w:r>
    </w:p>
    <w:p w:rsidR="00B17EB5" w:rsidRPr="00D24EE6" w:rsidRDefault="00B17EB5" w:rsidP="00D24EE6">
      <w:pPr>
        <w:pStyle w:val="Prrafodelista"/>
        <w:numPr>
          <w:ilvl w:val="0"/>
          <w:numId w:val="8"/>
        </w:numPr>
        <w:spacing w:after="0" w:line="276" w:lineRule="auto"/>
        <w:jc w:val="both"/>
        <w:rPr>
          <w:rFonts w:eastAsia="Times New Roman" w:cstheme="minorHAnsi"/>
          <w:sz w:val="24"/>
          <w:szCs w:val="24"/>
          <w:lang w:val="es-ES" w:eastAsia="es-ES"/>
        </w:rPr>
      </w:pPr>
      <w:r w:rsidRPr="00D24EE6">
        <w:rPr>
          <w:rFonts w:eastAsia="Times New Roman" w:cstheme="minorHAnsi"/>
          <w:b/>
          <w:bCs/>
          <w:sz w:val="24"/>
          <w:szCs w:val="24"/>
          <w:lang w:val="es-ES" w:eastAsia="es-ES"/>
        </w:rPr>
        <w:t>El gluten oculto</w:t>
      </w:r>
      <w:r w:rsidRPr="00D24EE6">
        <w:rPr>
          <w:rFonts w:eastAsia="Times New Roman" w:cstheme="minorHAnsi"/>
          <w:sz w:val="24"/>
          <w:szCs w:val="24"/>
          <w:lang w:val="es-ES" w:eastAsia="es-ES"/>
        </w:rPr>
        <w:t>, término que alude al uso de gluten con fines tecnológicos</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 xml:space="preserve"> durante la preparación de alimentos elaborados, como es el caso de “proteína vegetal hidrolizada”, “aditivo cereal”, conservantes, espesantes, estabilizantes, goma vegetal, fibras, colorante caramelo, etc. Su utilización industrial es amplia y justifica y obliga al uso de “listados” de productos “seguros” para celíacos, que significa que el contenido de gluten ha sido medido en el producto final. </w:t>
      </w:r>
    </w:p>
    <w:p w:rsidR="005D2AAB" w:rsidRPr="00D24EE6" w:rsidRDefault="00021012" w:rsidP="00D24EE6">
      <w:pPr>
        <w:pStyle w:val="Prrafodelista"/>
        <w:numPr>
          <w:ilvl w:val="0"/>
          <w:numId w:val="8"/>
        </w:numPr>
        <w:spacing w:after="0" w:line="276" w:lineRule="auto"/>
        <w:jc w:val="both"/>
        <w:rPr>
          <w:rFonts w:eastAsia="Times New Roman" w:cstheme="minorHAnsi"/>
          <w:sz w:val="24"/>
          <w:szCs w:val="24"/>
          <w:lang w:val="es-ES" w:eastAsia="es-ES"/>
        </w:rPr>
      </w:pPr>
      <w:r w:rsidRPr="00D24EE6">
        <w:rPr>
          <w:rFonts w:eastAsia="Times New Roman" w:cstheme="minorHAnsi"/>
          <w:b/>
          <w:bCs/>
          <w:sz w:val="24"/>
          <w:szCs w:val="24"/>
          <w:lang w:val="es-ES" w:eastAsia="es-ES"/>
        </w:rPr>
        <w:t>El etiquetado nutricional</w:t>
      </w:r>
      <w:r w:rsidRPr="00D24EE6">
        <w:rPr>
          <w:rFonts w:eastAsia="Times New Roman" w:cstheme="minorHAnsi"/>
          <w:sz w:val="24"/>
          <w:szCs w:val="24"/>
          <w:lang w:val="es-ES" w:eastAsia="es-ES"/>
        </w:rPr>
        <w:t xml:space="preserve">. El gluten es ampliamente usado en una variedad de productos, sin ser declarado como tal. </w:t>
      </w:r>
      <w:r w:rsidR="005D2AAB" w:rsidRPr="00D24EE6">
        <w:rPr>
          <w:rFonts w:eastAsia="Times New Roman" w:cstheme="minorHAnsi"/>
          <w:sz w:val="24"/>
          <w:szCs w:val="24"/>
          <w:lang w:val="es-ES" w:eastAsia="es-ES"/>
        </w:rPr>
        <w:t>Aproximadamente el 70% de los</w:t>
      </w:r>
      <w:r w:rsidR="000929DF">
        <w:rPr>
          <w:rFonts w:eastAsia="Times New Roman" w:cstheme="minorHAnsi"/>
          <w:sz w:val="24"/>
          <w:szCs w:val="24"/>
          <w:lang w:val="es-ES" w:eastAsia="es-ES"/>
        </w:rPr>
        <w:t xml:space="preserve">   </w:t>
      </w:r>
      <w:r w:rsidR="005D2AAB" w:rsidRPr="00D24EE6">
        <w:rPr>
          <w:rFonts w:eastAsia="Times New Roman" w:cstheme="minorHAnsi"/>
          <w:sz w:val="24"/>
          <w:szCs w:val="24"/>
          <w:lang w:val="es-ES" w:eastAsia="es-ES"/>
        </w:rPr>
        <w:t xml:space="preserve"> productos manufacturados contienen gluten. Es por ello que al leer las etiquetas hay que tener especial cuidado.</w:t>
      </w:r>
    </w:p>
    <w:p w:rsidR="00094265" w:rsidRPr="00D24EE6" w:rsidRDefault="005D2AAB" w:rsidP="00D24EE6">
      <w:pPr>
        <w:pStyle w:val="Prrafodelista"/>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 </w:t>
      </w:r>
    </w:p>
    <w:p w:rsidR="00CB1320" w:rsidRPr="00D24EE6" w:rsidRDefault="00021012"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En nuestro país, </w:t>
      </w:r>
      <w:r w:rsidR="00474C51" w:rsidRPr="00D24EE6">
        <w:rPr>
          <w:rFonts w:eastAsia="Times New Roman" w:cstheme="minorHAnsi"/>
          <w:sz w:val="24"/>
          <w:szCs w:val="24"/>
          <w:lang w:val="es-ES" w:eastAsia="es-ES"/>
        </w:rPr>
        <w:t>gracias al trabajo corporaciones y fundaciones (que brindan apoyo a pacientes celíacos y los representan) como la Corporación de Apoyo al Celíaco (</w:t>
      </w:r>
      <w:proofErr w:type="spellStart"/>
      <w:r w:rsidR="00474C51" w:rsidRPr="00D24EE6">
        <w:rPr>
          <w:rFonts w:eastAsia="Times New Roman" w:cstheme="minorHAnsi"/>
          <w:sz w:val="24"/>
          <w:szCs w:val="24"/>
          <w:lang w:val="es-ES" w:eastAsia="es-ES"/>
        </w:rPr>
        <w:t>Coacel</w:t>
      </w:r>
      <w:proofErr w:type="spellEnd"/>
      <w:r w:rsidR="00474C51" w:rsidRPr="00D24EE6">
        <w:rPr>
          <w:rFonts w:eastAsia="Times New Roman" w:cstheme="minorHAnsi"/>
          <w:sz w:val="24"/>
          <w:szCs w:val="24"/>
          <w:lang w:val="es-ES" w:eastAsia="es-ES"/>
        </w:rPr>
        <w:t xml:space="preserve">) y la Fundación de Intolerancia al gluten (Convivir), se tiene acceso a un </w:t>
      </w:r>
      <w:r w:rsidR="00474C51" w:rsidRPr="00D24EE6">
        <w:rPr>
          <w:rFonts w:eastAsia="Times New Roman" w:cstheme="minorHAnsi"/>
          <w:b/>
          <w:bCs/>
          <w:sz w:val="24"/>
          <w:szCs w:val="24"/>
          <w:lang w:val="es-ES" w:eastAsia="es-ES"/>
        </w:rPr>
        <w:t xml:space="preserve">listado de </w:t>
      </w:r>
      <w:r w:rsidR="000929DF">
        <w:rPr>
          <w:rFonts w:eastAsia="Times New Roman" w:cstheme="minorHAnsi"/>
          <w:b/>
          <w:bCs/>
          <w:sz w:val="24"/>
          <w:szCs w:val="24"/>
          <w:lang w:val="es-ES" w:eastAsia="es-ES"/>
        </w:rPr>
        <w:t xml:space="preserve"> </w:t>
      </w:r>
      <w:r w:rsidR="00474C51" w:rsidRPr="00D24EE6">
        <w:rPr>
          <w:rFonts w:eastAsia="Times New Roman" w:cstheme="minorHAnsi"/>
          <w:b/>
          <w:bCs/>
          <w:sz w:val="24"/>
          <w:szCs w:val="24"/>
          <w:lang w:val="es-ES" w:eastAsia="es-ES"/>
        </w:rPr>
        <w:t>productos y marcas y también de medicamentos libres de gluten</w:t>
      </w:r>
      <w:r w:rsidR="00474C51" w:rsidRPr="00D24EE6">
        <w:rPr>
          <w:rFonts w:eastAsia="Times New Roman" w:cstheme="minorHAnsi"/>
          <w:sz w:val="24"/>
          <w:szCs w:val="24"/>
          <w:lang w:val="es-ES" w:eastAsia="es-ES"/>
        </w:rPr>
        <w:t>.</w:t>
      </w:r>
      <w:r w:rsidR="00C848CE" w:rsidRPr="00D24EE6">
        <w:rPr>
          <w:rStyle w:val="Refdenotaalpie"/>
          <w:rFonts w:eastAsia="Times New Roman" w:cstheme="minorHAnsi"/>
          <w:sz w:val="24"/>
          <w:szCs w:val="24"/>
          <w:lang w:val="es-ES" w:eastAsia="es-ES"/>
        </w:rPr>
        <w:footnoteReference w:id="6"/>
      </w:r>
      <w:r w:rsidR="005D2AAB" w:rsidRPr="00D24EE6">
        <w:rPr>
          <w:rFonts w:eastAsia="Times New Roman" w:cstheme="minorHAnsi"/>
          <w:sz w:val="24"/>
          <w:szCs w:val="24"/>
          <w:lang w:val="es-ES" w:eastAsia="es-ES"/>
        </w:rPr>
        <w:t xml:space="preserve"> Sin embargo, </w:t>
      </w:r>
      <w:r w:rsidR="000929DF">
        <w:rPr>
          <w:rFonts w:eastAsia="Times New Roman" w:cstheme="minorHAnsi"/>
          <w:sz w:val="24"/>
          <w:szCs w:val="24"/>
          <w:lang w:val="es-ES" w:eastAsia="es-ES"/>
        </w:rPr>
        <w:t xml:space="preserve"> </w:t>
      </w:r>
      <w:r w:rsidR="005D2AAB" w:rsidRPr="00D24EE6">
        <w:rPr>
          <w:rFonts w:eastAsia="Times New Roman" w:cstheme="minorHAnsi"/>
          <w:sz w:val="24"/>
          <w:szCs w:val="24"/>
          <w:lang w:val="es-ES" w:eastAsia="es-ES"/>
        </w:rPr>
        <w:t>sabemos que el acceso a esta información digital no es accesible para todas las personas, especialmente las que viven en y zonas rurales del país.</w:t>
      </w:r>
    </w:p>
    <w:p w:rsidR="00CB1320" w:rsidRPr="00D24EE6" w:rsidRDefault="00CB1320" w:rsidP="00D24EE6">
      <w:pPr>
        <w:spacing w:after="0" w:line="276" w:lineRule="auto"/>
        <w:jc w:val="both"/>
        <w:rPr>
          <w:rFonts w:eastAsia="Times New Roman" w:cstheme="minorHAnsi"/>
          <w:sz w:val="24"/>
          <w:szCs w:val="24"/>
          <w:lang w:val="es-ES" w:eastAsia="es-ES"/>
        </w:rPr>
      </w:pPr>
    </w:p>
    <w:p w:rsidR="000929DF" w:rsidRDefault="000929DF">
      <w:pPr>
        <w:rPr>
          <w:rFonts w:eastAsia="Times New Roman" w:cstheme="minorHAnsi"/>
          <w:sz w:val="24"/>
          <w:szCs w:val="24"/>
          <w:u w:val="single"/>
          <w:lang w:val="es-ES" w:eastAsia="es-ES"/>
        </w:rPr>
      </w:pPr>
      <w:r>
        <w:rPr>
          <w:rFonts w:eastAsia="Times New Roman" w:cstheme="minorHAnsi"/>
          <w:sz w:val="24"/>
          <w:szCs w:val="24"/>
          <w:u w:val="single"/>
          <w:lang w:val="es-ES" w:eastAsia="es-ES"/>
        </w:rPr>
        <w:br w:type="page"/>
      </w:r>
    </w:p>
    <w:p w:rsidR="000929DF" w:rsidRDefault="000929DF" w:rsidP="00D24EE6">
      <w:pPr>
        <w:spacing w:after="0" w:line="276" w:lineRule="auto"/>
        <w:jc w:val="both"/>
        <w:rPr>
          <w:rFonts w:eastAsia="Times New Roman" w:cstheme="minorHAnsi"/>
          <w:sz w:val="24"/>
          <w:szCs w:val="24"/>
          <w:u w:val="single"/>
          <w:lang w:val="es-ES" w:eastAsia="es-ES"/>
        </w:rPr>
      </w:pPr>
    </w:p>
    <w:p w:rsidR="009009E0" w:rsidRPr="00D24EE6" w:rsidRDefault="009009E0" w:rsidP="00D24EE6">
      <w:pPr>
        <w:spacing w:after="0" w:line="276" w:lineRule="auto"/>
        <w:jc w:val="both"/>
        <w:rPr>
          <w:rFonts w:eastAsia="Times New Roman" w:cstheme="minorHAnsi"/>
          <w:sz w:val="24"/>
          <w:szCs w:val="24"/>
          <w:u w:val="single"/>
          <w:lang w:val="es-ES" w:eastAsia="es-ES"/>
        </w:rPr>
      </w:pPr>
      <w:r w:rsidRPr="00D24EE6">
        <w:rPr>
          <w:rFonts w:eastAsia="Times New Roman" w:cstheme="minorHAnsi"/>
          <w:sz w:val="24"/>
          <w:szCs w:val="24"/>
          <w:u w:val="single"/>
          <w:lang w:val="es-ES" w:eastAsia="es-ES"/>
        </w:rPr>
        <w:t>Normativa Chilena</w:t>
      </w:r>
      <w:r w:rsidR="00193295" w:rsidRPr="00D24EE6">
        <w:rPr>
          <w:rFonts w:eastAsia="Times New Roman" w:cstheme="minorHAnsi"/>
          <w:sz w:val="24"/>
          <w:szCs w:val="24"/>
          <w:u w:val="single"/>
          <w:lang w:val="es-ES" w:eastAsia="es-ES"/>
        </w:rPr>
        <w:t xml:space="preserve"> </w:t>
      </w:r>
      <w:r w:rsidRPr="00D24EE6">
        <w:rPr>
          <w:rFonts w:eastAsia="Times New Roman" w:cstheme="minorHAnsi"/>
          <w:sz w:val="24"/>
          <w:szCs w:val="24"/>
          <w:u w:val="single"/>
          <w:lang w:val="es-ES" w:eastAsia="es-ES"/>
        </w:rPr>
        <w:t>para alimentos exentos de gluten:</w:t>
      </w:r>
    </w:p>
    <w:p w:rsidR="009009E0" w:rsidRPr="00D24EE6" w:rsidRDefault="009009E0"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Para que un producto se comercialice usando un descriptor en su envase que diga que el producto es seguro para los celíacos (rótulo “libre de gluten”, símbolo de la espiga tachada u otro) debe cumplir con los requerimientos estipulados por el Reglamento Sanitario de los Alimentos de Chile</w:t>
      </w:r>
      <w:r w:rsidR="00070481">
        <w:rPr>
          <w:rFonts w:eastAsia="Times New Roman" w:cstheme="minorHAnsi"/>
          <w:sz w:val="24"/>
          <w:szCs w:val="24"/>
          <w:lang w:val="es-ES" w:eastAsia="es-ES"/>
        </w:rPr>
        <w:t>, Decreto N° 977,</w:t>
      </w:r>
      <w:r w:rsidRPr="00D24EE6">
        <w:rPr>
          <w:rFonts w:eastAsia="Times New Roman" w:cstheme="minorHAnsi"/>
          <w:sz w:val="24"/>
          <w:szCs w:val="24"/>
          <w:lang w:val="es-ES" w:eastAsia="es-ES"/>
        </w:rPr>
        <w:t xml:space="preserve"> Título XXVIII. De los alimentos para regímenes especiales. Párrafo VI. De los alimentos para regímenes exentos de gluten, artículos 516, 517 y 518. </w:t>
      </w:r>
    </w:p>
    <w:p w:rsidR="00BA2E94" w:rsidRPr="00D24EE6" w:rsidRDefault="00BA2E94" w:rsidP="00D24EE6">
      <w:pPr>
        <w:spacing w:after="0" w:line="276" w:lineRule="auto"/>
        <w:jc w:val="both"/>
        <w:rPr>
          <w:rFonts w:eastAsia="Times New Roman" w:cstheme="minorHAnsi"/>
          <w:sz w:val="24"/>
          <w:szCs w:val="24"/>
          <w:lang w:val="es-ES" w:eastAsia="es-ES"/>
        </w:rPr>
      </w:pPr>
    </w:p>
    <w:p w:rsidR="004F7BE8" w:rsidRPr="00D24EE6" w:rsidRDefault="0014532F" w:rsidP="00D24EE6">
      <w:pPr>
        <w:spacing w:after="0" w:line="276" w:lineRule="auto"/>
        <w:jc w:val="both"/>
        <w:rPr>
          <w:rFonts w:eastAsia="Times New Roman" w:cstheme="minorHAnsi"/>
          <w:sz w:val="24"/>
          <w:szCs w:val="24"/>
          <w:u w:val="single"/>
          <w:lang w:val="es-ES" w:eastAsia="es-ES"/>
        </w:rPr>
      </w:pPr>
      <w:r w:rsidRPr="00D24EE6">
        <w:rPr>
          <w:rFonts w:eastAsia="Times New Roman" w:cstheme="minorHAnsi"/>
          <w:sz w:val="24"/>
          <w:szCs w:val="24"/>
          <w:u w:val="single"/>
          <w:lang w:val="es-ES" w:eastAsia="es-ES"/>
        </w:rPr>
        <w:t>La problemática</w:t>
      </w:r>
    </w:p>
    <w:p w:rsidR="004F7BE8" w:rsidRPr="00D24EE6" w:rsidRDefault="004F7BE8"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La Guía de Práctica Clínicas Búsqueda, Diagnóstico y Tratamiento de la Enfermedad Celíaca”, elaborada por el Ministerio de Salud de Chile en el año 2015, </w:t>
      </w:r>
      <w:r w:rsidR="00447F27" w:rsidRPr="00D24EE6">
        <w:rPr>
          <w:rFonts w:eastAsia="Times New Roman" w:cstheme="minorHAnsi"/>
          <w:sz w:val="24"/>
          <w:szCs w:val="24"/>
          <w:lang w:val="es-ES" w:eastAsia="es-ES"/>
        </w:rPr>
        <w:t xml:space="preserve">reconoce escasas acciones dirigidas a la EC existentes en nuestro país y señala que </w:t>
      </w:r>
      <w:r w:rsidR="007D2945" w:rsidRPr="00D24EE6">
        <w:rPr>
          <w:rFonts w:eastAsia="Times New Roman" w:cstheme="minorHAnsi"/>
          <w:sz w:val="24"/>
          <w:szCs w:val="24"/>
          <w:lang w:val="es-ES" w:eastAsia="es-ES"/>
        </w:rPr>
        <w:t>los</w:t>
      </w:r>
      <w:r w:rsidRPr="00D24EE6">
        <w:rPr>
          <w:rFonts w:eastAsia="Times New Roman" w:cstheme="minorHAnsi"/>
          <w:sz w:val="24"/>
          <w:szCs w:val="24"/>
          <w:lang w:val="es-ES" w:eastAsia="es-ES"/>
        </w:rPr>
        <w:t xml:space="preserve"> principales </w:t>
      </w:r>
      <w:r w:rsidR="000929DF">
        <w:rPr>
          <w:rFonts w:eastAsia="Times New Roman" w:cstheme="minorHAnsi"/>
          <w:sz w:val="24"/>
          <w:szCs w:val="24"/>
          <w:lang w:val="es-ES" w:eastAsia="es-ES"/>
        </w:rPr>
        <w:t xml:space="preserve"> </w:t>
      </w:r>
      <w:r w:rsidRPr="00D24EE6">
        <w:rPr>
          <w:rFonts w:eastAsia="Times New Roman" w:cstheme="minorHAnsi"/>
          <w:sz w:val="24"/>
          <w:szCs w:val="24"/>
          <w:lang w:val="es-ES" w:eastAsia="es-ES"/>
        </w:rPr>
        <w:t xml:space="preserve">problemas </w:t>
      </w:r>
      <w:r w:rsidR="007D2945" w:rsidRPr="00D24EE6">
        <w:rPr>
          <w:rFonts w:eastAsia="Times New Roman" w:cstheme="minorHAnsi"/>
          <w:sz w:val="24"/>
          <w:szCs w:val="24"/>
          <w:lang w:val="es-ES" w:eastAsia="es-ES"/>
        </w:rPr>
        <w:t>a enfrentar para dar respuesta a las necesi</w:t>
      </w:r>
      <w:r w:rsidR="00447F27" w:rsidRPr="00D24EE6">
        <w:rPr>
          <w:rFonts w:eastAsia="Times New Roman" w:cstheme="minorHAnsi"/>
          <w:sz w:val="24"/>
          <w:szCs w:val="24"/>
          <w:lang w:val="es-ES" w:eastAsia="es-ES"/>
        </w:rPr>
        <w:t xml:space="preserve">dades de las personas con Enfermedad Celíaca </w:t>
      </w:r>
      <w:r w:rsidR="007D2945" w:rsidRPr="00D24EE6">
        <w:rPr>
          <w:rFonts w:eastAsia="Times New Roman" w:cstheme="minorHAnsi"/>
          <w:sz w:val="24"/>
          <w:szCs w:val="24"/>
          <w:lang w:val="es-ES" w:eastAsia="es-ES"/>
        </w:rPr>
        <w:t>son</w:t>
      </w:r>
      <w:r w:rsidR="00447F27" w:rsidRPr="00D24EE6">
        <w:rPr>
          <w:rFonts w:eastAsia="Times New Roman" w:cstheme="minorHAnsi"/>
          <w:sz w:val="24"/>
          <w:szCs w:val="24"/>
          <w:lang w:val="es-ES" w:eastAsia="es-ES"/>
        </w:rPr>
        <w:t>, entre otras</w:t>
      </w:r>
      <w:r w:rsidR="007D2945" w:rsidRPr="00D24EE6">
        <w:rPr>
          <w:rFonts w:eastAsia="Times New Roman" w:cstheme="minorHAnsi"/>
          <w:sz w:val="24"/>
          <w:szCs w:val="24"/>
          <w:lang w:val="es-ES" w:eastAsia="es-ES"/>
        </w:rPr>
        <w:t xml:space="preserve">: </w:t>
      </w:r>
    </w:p>
    <w:p w:rsidR="00882238" w:rsidRPr="00D24EE6" w:rsidRDefault="00882238" w:rsidP="00D24EE6">
      <w:pPr>
        <w:spacing w:after="0" w:line="276" w:lineRule="auto"/>
        <w:jc w:val="both"/>
        <w:rPr>
          <w:rFonts w:eastAsia="Times New Roman" w:cstheme="minorHAnsi"/>
          <w:sz w:val="24"/>
          <w:szCs w:val="24"/>
          <w:lang w:val="es-ES" w:eastAsia="es-ES"/>
        </w:rPr>
      </w:pPr>
    </w:p>
    <w:p w:rsidR="004F7BE8" w:rsidRPr="00D24EE6" w:rsidRDefault="007D2945" w:rsidP="00D24EE6">
      <w:pPr>
        <w:pStyle w:val="Prrafodelista"/>
        <w:numPr>
          <w:ilvl w:val="0"/>
          <w:numId w:val="7"/>
        </w:num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El deterioro de la calidad </w:t>
      </w:r>
      <w:r w:rsidR="00832093" w:rsidRPr="00D24EE6">
        <w:rPr>
          <w:rFonts w:eastAsia="Times New Roman" w:cstheme="minorHAnsi"/>
          <w:sz w:val="24"/>
          <w:szCs w:val="24"/>
          <w:lang w:val="es-ES" w:eastAsia="es-ES"/>
        </w:rPr>
        <w:t>de vida</w:t>
      </w:r>
      <w:r w:rsidRPr="00D24EE6">
        <w:rPr>
          <w:rFonts w:eastAsia="Times New Roman" w:cstheme="minorHAnsi"/>
          <w:sz w:val="24"/>
          <w:szCs w:val="24"/>
          <w:lang w:val="es-ES" w:eastAsia="es-ES"/>
        </w:rPr>
        <w:t xml:space="preserve"> de las personas con EC</w:t>
      </w:r>
      <w:r w:rsidR="00ED587C" w:rsidRPr="00D24EE6">
        <w:rPr>
          <w:rFonts w:eastAsia="Times New Roman" w:cstheme="minorHAnsi"/>
          <w:sz w:val="24"/>
          <w:szCs w:val="24"/>
          <w:lang w:val="es-ES" w:eastAsia="es-ES"/>
        </w:rPr>
        <w:t>,</w:t>
      </w:r>
    </w:p>
    <w:p w:rsidR="007D2945" w:rsidRPr="00D24EE6" w:rsidRDefault="00ED587C" w:rsidP="00D24EE6">
      <w:pPr>
        <w:pStyle w:val="Prrafodelista"/>
        <w:numPr>
          <w:ilvl w:val="0"/>
          <w:numId w:val="7"/>
        </w:num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El </w:t>
      </w:r>
      <w:r w:rsidR="00832093" w:rsidRPr="00D24EE6">
        <w:rPr>
          <w:rFonts w:eastAsia="Times New Roman" w:cstheme="minorHAnsi"/>
          <w:sz w:val="24"/>
          <w:szCs w:val="24"/>
          <w:lang w:val="es-ES" w:eastAsia="es-ES"/>
        </w:rPr>
        <w:t xml:space="preserve">aumentando los gastos por concepto de múltiples evaluaciones médicas/laboratorio, </w:t>
      </w:r>
      <w:r w:rsidR="007D2945" w:rsidRPr="00D24EE6">
        <w:rPr>
          <w:rFonts w:eastAsia="Times New Roman" w:cstheme="minorHAnsi"/>
          <w:sz w:val="24"/>
          <w:szCs w:val="24"/>
          <w:lang w:val="es-ES" w:eastAsia="es-ES"/>
        </w:rPr>
        <w:t>por ser de muy difícil diagnóstico y sus síntomas pueden confundirse con otras patologías,</w:t>
      </w:r>
    </w:p>
    <w:p w:rsidR="004F7BE8" w:rsidRPr="00D24EE6" w:rsidRDefault="00ED587C" w:rsidP="00D24EE6">
      <w:pPr>
        <w:pStyle w:val="Prrafodelista"/>
        <w:numPr>
          <w:ilvl w:val="0"/>
          <w:numId w:val="7"/>
        </w:num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La </w:t>
      </w:r>
      <w:r w:rsidR="00832093" w:rsidRPr="00D24EE6">
        <w:rPr>
          <w:rFonts w:eastAsia="Times New Roman" w:cstheme="minorHAnsi"/>
          <w:sz w:val="24"/>
          <w:szCs w:val="24"/>
          <w:lang w:val="es-ES" w:eastAsia="es-ES"/>
        </w:rPr>
        <w:t>mayor mortalidad comparado con la población general</w:t>
      </w:r>
      <w:r w:rsidRPr="00D24EE6">
        <w:rPr>
          <w:rFonts w:eastAsia="Times New Roman" w:cstheme="minorHAnsi"/>
          <w:sz w:val="24"/>
          <w:szCs w:val="24"/>
          <w:lang w:val="es-ES" w:eastAsia="es-ES"/>
        </w:rPr>
        <w:t>,</w:t>
      </w:r>
    </w:p>
    <w:p w:rsidR="007D2945" w:rsidRPr="00D24EE6" w:rsidRDefault="00ED587C" w:rsidP="00D24EE6">
      <w:pPr>
        <w:pStyle w:val="Prrafodelista"/>
        <w:numPr>
          <w:ilvl w:val="0"/>
          <w:numId w:val="7"/>
        </w:num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La </w:t>
      </w:r>
      <w:r w:rsidR="00832093" w:rsidRPr="00D24EE6">
        <w:rPr>
          <w:rFonts w:eastAsia="Times New Roman" w:cstheme="minorHAnsi"/>
          <w:sz w:val="24"/>
          <w:szCs w:val="24"/>
          <w:lang w:val="es-ES" w:eastAsia="es-ES"/>
        </w:rPr>
        <w:t xml:space="preserve">aparición de complicaciones médicas (osteopenia, infertilidad, depresión, epilepsia, linfoma no-Hodgkin, etc.) y otras enfermedades autoinmunes </w:t>
      </w:r>
      <w:r w:rsidR="000929DF">
        <w:rPr>
          <w:rFonts w:eastAsia="Times New Roman" w:cstheme="minorHAnsi"/>
          <w:sz w:val="24"/>
          <w:szCs w:val="24"/>
          <w:lang w:val="es-ES" w:eastAsia="es-ES"/>
        </w:rPr>
        <w:t xml:space="preserve">   </w:t>
      </w:r>
      <w:r w:rsidR="00832093" w:rsidRPr="00D24EE6">
        <w:rPr>
          <w:rFonts w:eastAsia="Times New Roman" w:cstheme="minorHAnsi"/>
          <w:sz w:val="24"/>
          <w:szCs w:val="24"/>
          <w:lang w:val="es-ES" w:eastAsia="es-ES"/>
        </w:rPr>
        <w:t xml:space="preserve">asociadas (tiroiditis crónica, hepatitis autoinmune, diabetes mellitus tipo 1, etc.), </w:t>
      </w:r>
    </w:p>
    <w:p w:rsidR="002E2BFF" w:rsidRPr="00D24EE6" w:rsidRDefault="00882238" w:rsidP="00D24EE6">
      <w:pPr>
        <w:pStyle w:val="Prrafodelista"/>
        <w:numPr>
          <w:ilvl w:val="0"/>
          <w:numId w:val="7"/>
        </w:num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Mayores costos que debe enfrentar el sistema de salud derivados de la mantención de la sintomatología que genera consulta, las hospitalizaciones y complicaciones (e</w:t>
      </w:r>
      <w:r w:rsidR="00036587" w:rsidRPr="00D24EE6">
        <w:rPr>
          <w:rFonts w:eastAsia="Times New Roman" w:cstheme="minorHAnsi"/>
          <w:sz w:val="24"/>
          <w:szCs w:val="24"/>
          <w:lang w:val="es-ES" w:eastAsia="es-ES"/>
        </w:rPr>
        <w:t>sto</w:t>
      </w:r>
      <w:r w:rsidR="00832093" w:rsidRPr="00D24EE6">
        <w:rPr>
          <w:rFonts w:eastAsia="Times New Roman" w:cstheme="minorHAnsi"/>
          <w:sz w:val="24"/>
          <w:szCs w:val="24"/>
          <w:lang w:val="es-ES" w:eastAsia="es-ES"/>
        </w:rPr>
        <w:t xml:space="preserve"> es </w:t>
      </w:r>
      <w:r w:rsidR="00036587" w:rsidRPr="00D24EE6">
        <w:rPr>
          <w:rFonts w:eastAsia="Times New Roman" w:cstheme="minorHAnsi"/>
          <w:sz w:val="24"/>
          <w:szCs w:val="24"/>
          <w:lang w:val="es-ES" w:eastAsia="es-ES"/>
        </w:rPr>
        <w:t xml:space="preserve">muy </w:t>
      </w:r>
      <w:r w:rsidR="00832093" w:rsidRPr="00D24EE6">
        <w:rPr>
          <w:rFonts w:eastAsia="Times New Roman" w:cstheme="minorHAnsi"/>
          <w:sz w:val="24"/>
          <w:szCs w:val="24"/>
          <w:lang w:val="es-ES" w:eastAsia="es-ES"/>
        </w:rPr>
        <w:t>relevante en nuestro país, donde el tiempo para llegar al diagnóstico varía entre 1 y 4 años</w:t>
      </w:r>
      <w:r w:rsidR="00ED587C" w:rsidRPr="00D24EE6">
        <w:rPr>
          <w:rFonts w:eastAsia="Times New Roman" w:cstheme="minorHAnsi"/>
          <w:sz w:val="24"/>
          <w:szCs w:val="24"/>
          <w:lang w:val="es-ES" w:eastAsia="es-ES"/>
        </w:rPr>
        <w:t>),</w:t>
      </w:r>
    </w:p>
    <w:p w:rsidR="00882238" w:rsidRPr="00D24EE6" w:rsidRDefault="004F7BE8" w:rsidP="00D24EE6">
      <w:pPr>
        <w:pStyle w:val="Prrafodelista"/>
        <w:numPr>
          <w:ilvl w:val="0"/>
          <w:numId w:val="7"/>
        </w:num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E</w:t>
      </w:r>
      <w:r w:rsidR="00832093" w:rsidRPr="00D24EE6">
        <w:rPr>
          <w:rFonts w:eastAsia="Times New Roman" w:cstheme="minorHAnsi"/>
          <w:sz w:val="24"/>
          <w:szCs w:val="24"/>
          <w:lang w:val="es-ES" w:eastAsia="es-ES"/>
        </w:rPr>
        <w:t>l mayor costo</w:t>
      </w:r>
      <w:r w:rsidR="00882238" w:rsidRPr="00D24EE6">
        <w:rPr>
          <w:rFonts w:eastAsia="Times New Roman" w:cstheme="minorHAnsi"/>
          <w:sz w:val="24"/>
          <w:szCs w:val="24"/>
          <w:lang w:val="es-ES" w:eastAsia="es-ES"/>
        </w:rPr>
        <w:t xml:space="preserve"> que representa la dieta libre de gluten es un problema que enfrenta la familia y sus redes de apoyo,</w:t>
      </w:r>
    </w:p>
    <w:p w:rsidR="00C848CE" w:rsidRPr="00D24EE6" w:rsidRDefault="00882238" w:rsidP="00D24EE6">
      <w:pPr>
        <w:pStyle w:val="Prrafodelista"/>
        <w:numPr>
          <w:ilvl w:val="0"/>
          <w:numId w:val="7"/>
        </w:num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La </w:t>
      </w:r>
      <w:r w:rsidR="002E2BFF" w:rsidRPr="00D24EE6">
        <w:rPr>
          <w:rFonts w:eastAsia="Times New Roman" w:cstheme="minorHAnsi"/>
          <w:sz w:val="24"/>
          <w:szCs w:val="24"/>
          <w:lang w:val="es-ES" w:eastAsia="es-ES"/>
        </w:rPr>
        <w:t xml:space="preserve">falta de disponibilidad y falta de información </w:t>
      </w:r>
      <w:r w:rsidR="00832093" w:rsidRPr="00D24EE6">
        <w:rPr>
          <w:rFonts w:eastAsia="Times New Roman" w:cstheme="minorHAnsi"/>
          <w:sz w:val="24"/>
          <w:szCs w:val="24"/>
          <w:lang w:val="es-ES" w:eastAsia="es-ES"/>
        </w:rPr>
        <w:t>de los productos sin gluten</w:t>
      </w:r>
      <w:r w:rsidR="002E2BFF" w:rsidRPr="00D24EE6">
        <w:rPr>
          <w:rFonts w:eastAsia="Times New Roman" w:cstheme="minorHAnsi"/>
          <w:sz w:val="24"/>
          <w:szCs w:val="24"/>
          <w:lang w:val="es-ES" w:eastAsia="es-ES"/>
        </w:rPr>
        <w:t>.</w:t>
      </w:r>
    </w:p>
    <w:p w:rsidR="004F7BE8" w:rsidRPr="00D24EE6" w:rsidRDefault="00C848CE" w:rsidP="00D24EE6">
      <w:pPr>
        <w:pStyle w:val="Prrafodelista"/>
        <w:numPr>
          <w:ilvl w:val="0"/>
          <w:numId w:val="7"/>
        </w:num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La existencia </w:t>
      </w:r>
      <w:r w:rsidR="002E2BFF" w:rsidRPr="00D24EE6">
        <w:rPr>
          <w:rFonts w:eastAsia="Times New Roman" w:cstheme="minorHAnsi"/>
          <w:sz w:val="24"/>
          <w:szCs w:val="24"/>
          <w:lang w:val="es-ES" w:eastAsia="es-ES"/>
        </w:rPr>
        <w:t>de escaso número de empresas que producen alimentos sin gluten.</w:t>
      </w:r>
    </w:p>
    <w:p w:rsidR="00DD3380" w:rsidRPr="00D24EE6" w:rsidRDefault="00DD3380" w:rsidP="00D24EE6">
      <w:pPr>
        <w:pStyle w:val="Prrafodelista"/>
        <w:spacing w:after="0" w:line="276" w:lineRule="auto"/>
        <w:jc w:val="both"/>
        <w:rPr>
          <w:rFonts w:eastAsia="Times New Roman" w:cstheme="minorHAnsi"/>
          <w:sz w:val="24"/>
          <w:szCs w:val="24"/>
          <w:lang w:val="es-ES" w:eastAsia="es-ES"/>
        </w:rPr>
      </w:pPr>
    </w:p>
    <w:p w:rsidR="00E9220F" w:rsidRPr="00D24EE6" w:rsidRDefault="00ED587C"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Todo lo anterior, </w:t>
      </w:r>
      <w:r w:rsidR="00E9220F" w:rsidRPr="00D24EE6">
        <w:rPr>
          <w:rFonts w:eastAsia="Times New Roman" w:cstheme="minorHAnsi"/>
          <w:sz w:val="24"/>
          <w:szCs w:val="24"/>
          <w:lang w:val="es-ES" w:eastAsia="es-ES"/>
        </w:rPr>
        <w:t xml:space="preserve">representa un importante problema de salud pública, que invita a </w:t>
      </w:r>
      <w:r w:rsidR="000929DF">
        <w:rPr>
          <w:rFonts w:eastAsia="Times New Roman" w:cstheme="minorHAnsi"/>
          <w:sz w:val="24"/>
          <w:szCs w:val="24"/>
          <w:lang w:val="es-ES" w:eastAsia="es-ES"/>
        </w:rPr>
        <w:t xml:space="preserve"> </w:t>
      </w:r>
      <w:r w:rsidR="00E9220F" w:rsidRPr="00D24EE6">
        <w:rPr>
          <w:rFonts w:eastAsia="Times New Roman" w:cstheme="minorHAnsi"/>
          <w:sz w:val="24"/>
          <w:szCs w:val="24"/>
          <w:lang w:val="es-ES" w:eastAsia="es-ES"/>
        </w:rPr>
        <w:t>buscar e implementar medida</w:t>
      </w:r>
      <w:r w:rsidR="00C848CE" w:rsidRPr="00D24EE6">
        <w:rPr>
          <w:rFonts w:eastAsia="Times New Roman" w:cstheme="minorHAnsi"/>
          <w:sz w:val="24"/>
          <w:szCs w:val="24"/>
          <w:lang w:val="es-ES" w:eastAsia="es-ES"/>
        </w:rPr>
        <w:t>s</w:t>
      </w:r>
      <w:r w:rsidR="00E9220F" w:rsidRPr="00D24EE6">
        <w:rPr>
          <w:rFonts w:eastAsia="Times New Roman" w:cstheme="minorHAnsi"/>
          <w:sz w:val="24"/>
          <w:szCs w:val="24"/>
          <w:lang w:val="es-ES" w:eastAsia="es-ES"/>
        </w:rPr>
        <w:t xml:space="preserve"> y acciones específicas, así como el desarrollo de políticas </w:t>
      </w:r>
      <w:r w:rsidR="00036587" w:rsidRPr="00D24EE6">
        <w:rPr>
          <w:rFonts w:eastAsia="Times New Roman" w:cstheme="minorHAnsi"/>
          <w:sz w:val="24"/>
          <w:szCs w:val="24"/>
          <w:lang w:val="es-ES" w:eastAsia="es-ES"/>
        </w:rPr>
        <w:t>públicas</w:t>
      </w:r>
      <w:r w:rsidR="00193295" w:rsidRPr="00D24EE6">
        <w:rPr>
          <w:rFonts w:eastAsia="Times New Roman" w:cstheme="minorHAnsi"/>
          <w:sz w:val="24"/>
          <w:szCs w:val="24"/>
          <w:lang w:val="es-ES" w:eastAsia="es-ES"/>
        </w:rPr>
        <w:t xml:space="preserve">. </w:t>
      </w:r>
    </w:p>
    <w:p w:rsidR="00D24EE6" w:rsidRDefault="00D24EE6" w:rsidP="00D24EE6">
      <w:pPr>
        <w:spacing w:after="0" w:line="276" w:lineRule="auto"/>
        <w:jc w:val="both"/>
        <w:rPr>
          <w:rFonts w:eastAsia="Times New Roman" w:cstheme="minorHAnsi"/>
          <w:sz w:val="24"/>
          <w:szCs w:val="24"/>
          <w:lang w:val="es-ES" w:eastAsia="es-ES"/>
        </w:rPr>
      </w:pPr>
    </w:p>
    <w:p w:rsidR="00FC16D0" w:rsidRDefault="00FC16D0" w:rsidP="00D24EE6">
      <w:pPr>
        <w:spacing w:after="0" w:line="276" w:lineRule="auto"/>
        <w:jc w:val="both"/>
        <w:rPr>
          <w:rFonts w:eastAsia="Times New Roman" w:cstheme="minorHAnsi"/>
          <w:sz w:val="24"/>
          <w:szCs w:val="24"/>
          <w:lang w:val="es-ES" w:eastAsia="es-ES"/>
        </w:rPr>
      </w:pPr>
    </w:p>
    <w:p w:rsidR="000929DF" w:rsidRDefault="000929DF">
      <w:pPr>
        <w:rPr>
          <w:rFonts w:eastAsia="Times New Roman" w:cstheme="minorHAnsi"/>
          <w:sz w:val="24"/>
          <w:szCs w:val="24"/>
          <w:lang w:val="es-ES" w:eastAsia="es-ES"/>
        </w:rPr>
      </w:pPr>
      <w:r>
        <w:rPr>
          <w:rFonts w:eastAsia="Times New Roman" w:cstheme="minorHAnsi"/>
          <w:sz w:val="24"/>
          <w:szCs w:val="24"/>
          <w:lang w:val="es-ES" w:eastAsia="es-ES"/>
        </w:rPr>
        <w:br w:type="page"/>
      </w:r>
    </w:p>
    <w:p w:rsidR="00FC16D0" w:rsidRDefault="00FC16D0" w:rsidP="00D24EE6">
      <w:pPr>
        <w:spacing w:after="0" w:line="276" w:lineRule="auto"/>
        <w:jc w:val="both"/>
        <w:rPr>
          <w:rFonts w:eastAsia="Times New Roman" w:cstheme="minorHAnsi"/>
          <w:sz w:val="24"/>
          <w:szCs w:val="24"/>
          <w:lang w:val="es-ES" w:eastAsia="es-ES"/>
        </w:rPr>
      </w:pPr>
    </w:p>
    <w:p w:rsidR="00DD5FDD" w:rsidRPr="00D24EE6" w:rsidRDefault="001A153E" w:rsidP="00D24EE6">
      <w:pPr>
        <w:spacing w:after="0" w:line="276" w:lineRule="auto"/>
        <w:jc w:val="both"/>
        <w:rPr>
          <w:rFonts w:eastAsia="Times New Roman" w:cstheme="minorHAnsi"/>
          <w:sz w:val="24"/>
          <w:szCs w:val="24"/>
          <w:u w:val="single"/>
          <w:lang w:val="es-ES" w:eastAsia="es-ES"/>
        </w:rPr>
      </w:pPr>
      <w:r w:rsidRPr="00D24EE6">
        <w:rPr>
          <w:rFonts w:eastAsia="Times New Roman" w:cstheme="minorHAnsi"/>
          <w:sz w:val="24"/>
          <w:szCs w:val="24"/>
          <w:u w:val="single"/>
          <w:lang w:val="es-ES" w:eastAsia="es-ES"/>
        </w:rPr>
        <w:t>Considerando:</w:t>
      </w:r>
    </w:p>
    <w:p w:rsidR="001A153E" w:rsidRPr="00D24EE6" w:rsidRDefault="001A153E" w:rsidP="00D24EE6">
      <w:pPr>
        <w:spacing w:after="0" w:line="276" w:lineRule="auto"/>
        <w:jc w:val="both"/>
        <w:rPr>
          <w:rFonts w:eastAsia="Times New Roman" w:cstheme="minorHAnsi"/>
          <w:sz w:val="24"/>
          <w:szCs w:val="24"/>
          <w:u w:val="single"/>
          <w:lang w:val="es-ES" w:eastAsia="es-ES"/>
        </w:rPr>
      </w:pPr>
    </w:p>
    <w:p w:rsidR="00D01BE8" w:rsidRPr="00D24EE6" w:rsidRDefault="001A153E"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 xml:space="preserve">1.- </w:t>
      </w:r>
      <w:r w:rsidR="00F63194" w:rsidRPr="00D24EE6">
        <w:rPr>
          <w:rFonts w:eastAsia="Times New Roman" w:cstheme="minorHAnsi"/>
          <w:sz w:val="24"/>
          <w:szCs w:val="24"/>
          <w:lang w:val="es-ES" w:eastAsia="es-ES"/>
        </w:rPr>
        <w:t>Que n</w:t>
      </w:r>
      <w:r w:rsidR="00943048" w:rsidRPr="00D24EE6">
        <w:rPr>
          <w:rFonts w:eastAsia="Times New Roman" w:cstheme="minorHAnsi"/>
          <w:sz w:val="24"/>
          <w:szCs w:val="24"/>
          <w:lang w:val="es-ES" w:eastAsia="es-ES"/>
        </w:rPr>
        <w:t xml:space="preserve">uestra Constitución </w:t>
      </w:r>
      <w:r w:rsidR="00F63194" w:rsidRPr="00D24EE6">
        <w:rPr>
          <w:rFonts w:eastAsia="Times New Roman" w:cstheme="minorHAnsi"/>
          <w:sz w:val="24"/>
          <w:szCs w:val="24"/>
          <w:lang w:val="es-ES" w:eastAsia="es-ES"/>
        </w:rPr>
        <w:t xml:space="preserve">Política </w:t>
      </w:r>
      <w:r w:rsidR="00D01BE8" w:rsidRPr="00D24EE6">
        <w:rPr>
          <w:rFonts w:eastAsia="Times New Roman" w:cstheme="minorHAnsi"/>
          <w:sz w:val="24"/>
          <w:szCs w:val="24"/>
          <w:lang w:val="es-ES" w:eastAsia="es-ES"/>
        </w:rPr>
        <w:t xml:space="preserve">asegura a todas las personas </w:t>
      </w:r>
      <w:r w:rsidR="00D01BE8" w:rsidRPr="00D24EE6">
        <w:rPr>
          <w:rFonts w:eastAsia="Times New Roman" w:cstheme="minorHAnsi"/>
          <w:b/>
          <w:i/>
          <w:sz w:val="24"/>
          <w:szCs w:val="24"/>
          <w:lang w:val="es-ES" w:eastAsia="es-ES"/>
        </w:rPr>
        <w:t>“El derecho a la protección de la salud”</w:t>
      </w:r>
      <w:r w:rsidR="00D01BE8" w:rsidRPr="00D24EE6">
        <w:rPr>
          <w:rFonts w:eastAsia="Times New Roman" w:cstheme="minorHAnsi"/>
          <w:sz w:val="24"/>
          <w:szCs w:val="24"/>
          <w:lang w:val="es-ES" w:eastAsia="es-ES"/>
        </w:rPr>
        <w:t xml:space="preserve"> </w:t>
      </w:r>
      <w:r w:rsidR="00965C87" w:rsidRPr="00D24EE6">
        <w:rPr>
          <w:rFonts w:eastAsia="Times New Roman" w:cstheme="minorHAnsi"/>
          <w:sz w:val="24"/>
          <w:szCs w:val="24"/>
          <w:lang w:val="es-ES" w:eastAsia="es-ES"/>
        </w:rPr>
        <w:t>y,</w:t>
      </w:r>
      <w:r w:rsidR="00D01BE8" w:rsidRPr="00D24EE6">
        <w:rPr>
          <w:rFonts w:eastAsia="Times New Roman" w:cstheme="minorHAnsi"/>
          <w:sz w:val="24"/>
          <w:szCs w:val="24"/>
          <w:lang w:val="es-ES" w:eastAsia="es-ES"/>
        </w:rPr>
        <w:t xml:space="preserve"> además</w:t>
      </w:r>
      <w:r w:rsidR="00965C87" w:rsidRPr="00D24EE6">
        <w:rPr>
          <w:rFonts w:eastAsia="Times New Roman" w:cstheme="minorHAnsi"/>
          <w:sz w:val="24"/>
          <w:szCs w:val="24"/>
          <w:lang w:val="es-ES" w:eastAsia="es-ES"/>
        </w:rPr>
        <w:t>,</w:t>
      </w:r>
      <w:r w:rsidR="00D01BE8" w:rsidRPr="00D24EE6">
        <w:rPr>
          <w:rFonts w:eastAsia="Times New Roman" w:cstheme="minorHAnsi"/>
          <w:sz w:val="24"/>
          <w:szCs w:val="24"/>
          <w:lang w:val="es-ES" w:eastAsia="es-ES"/>
        </w:rPr>
        <w:t xml:space="preserve"> pone de cargo del Estado proteger</w:t>
      </w:r>
      <w:r w:rsidR="00425450" w:rsidRPr="00D24EE6">
        <w:rPr>
          <w:rFonts w:eastAsia="Times New Roman" w:cstheme="minorHAnsi"/>
          <w:sz w:val="24"/>
          <w:szCs w:val="24"/>
          <w:lang w:val="es-ES" w:eastAsia="es-ES"/>
        </w:rPr>
        <w:t xml:space="preserve"> </w:t>
      </w:r>
      <w:r w:rsidR="00D01BE8" w:rsidRPr="00D24EE6">
        <w:rPr>
          <w:rFonts w:eastAsia="Times New Roman" w:cstheme="minorHAnsi"/>
          <w:sz w:val="24"/>
          <w:szCs w:val="24"/>
          <w:lang w:val="es-ES" w:eastAsia="es-ES"/>
        </w:rPr>
        <w:t xml:space="preserve">el libre e </w:t>
      </w:r>
      <w:r w:rsidR="000929DF">
        <w:rPr>
          <w:rFonts w:eastAsia="Times New Roman" w:cstheme="minorHAnsi"/>
          <w:sz w:val="24"/>
          <w:szCs w:val="24"/>
          <w:lang w:val="es-ES" w:eastAsia="es-ES"/>
        </w:rPr>
        <w:t xml:space="preserve">   </w:t>
      </w:r>
      <w:r w:rsidR="00D01BE8" w:rsidRPr="00D24EE6">
        <w:rPr>
          <w:rFonts w:eastAsia="Times New Roman" w:cstheme="minorHAnsi"/>
          <w:sz w:val="24"/>
          <w:szCs w:val="24"/>
          <w:lang w:val="es-ES" w:eastAsia="es-ES"/>
        </w:rPr>
        <w:t>igualitario acceso a las acciones de promoción, protección y recuperación de la salud y de rehabilitación del individuo.</w:t>
      </w:r>
      <w:r w:rsidR="00425450" w:rsidRPr="00D24EE6">
        <w:rPr>
          <w:rFonts w:eastAsia="Times New Roman" w:cstheme="minorHAnsi"/>
          <w:sz w:val="24"/>
          <w:szCs w:val="24"/>
          <w:lang w:val="es-ES" w:eastAsia="es-ES"/>
        </w:rPr>
        <w:t xml:space="preserve"> </w:t>
      </w:r>
      <w:r w:rsidR="00965C87" w:rsidRPr="00D24EE6">
        <w:rPr>
          <w:rFonts w:eastAsia="Times New Roman" w:cstheme="minorHAnsi"/>
          <w:sz w:val="24"/>
          <w:szCs w:val="24"/>
          <w:lang w:val="es-ES" w:eastAsia="es-ES"/>
        </w:rPr>
        <w:t>Asimismo, e</w:t>
      </w:r>
      <w:r w:rsidR="00425450" w:rsidRPr="00D24EE6">
        <w:rPr>
          <w:rFonts w:eastAsia="Times New Roman" w:cstheme="minorHAnsi"/>
          <w:sz w:val="24"/>
          <w:szCs w:val="24"/>
          <w:lang w:val="es-ES" w:eastAsia="es-ES"/>
        </w:rPr>
        <w:t xml:space="preserve">stablece </w:t>
      </w:r>
      <w:r w:rsidR="00965C87" w:rsidRPr="00D24EE6">
        <w:rPr>
          <w:rFonts w:eastAsia="Times New Roman" w:cstheme="minorHAnsi"/>
          <w:sz w:val="24"/>
          <w:szCs w:val="24"/>
          <w:lang w:val="es-ES" w:eastAsia="es-ES"/>
        </w:rPr>
        <w:t>que</w:t>
      </w:r>
      <w:r w:rsidR="00425450" w:rsidRPr="00D24EE6">
        <w:rPr>
          <w:rFonts w:eastAsia="Times New Roman" w:cstheme="minorHAnsi"/>
          <w:sz w:val="24"/>
          <w:szCs w:val="24"/>
          <w:lang w:val="es-ES" w:eastAsia="es-ES"/>
        </w:rPr>
        <w:t xml:space="preserve"> al Estado le corresponde la coordinación y control de las acciones relacionadas con la salud y tiene como deber preferente garantizar la ejecución de las acciones de salud, sea que se presten a través</w:t>
      </w:r>
      <w:r w:rsidR="000929DF">
        <w:rPr>
          <w:rFonts w:eastAsia="Times New Roman" w:cstheme="minorHAnsi"/>
          <w:sz w:val="24"/>
          <w:szCs w:val="24"/>
          <w:lang w:val="es-ES" w:eastAsia="es-ES"/>
        </w:rPr>
        <w:t xml:space="preserve">  </w:t>
      </w:r>
      <w:r w:rsidR="00425450" w:rsidRPr="00D24EE6">
        <w:rPr>
          <w:rFonts w:eastAsia="Times New Roman" w:cstheme="minorHAnsi"/>
          <w:sz w:val="24"/>
          <w:szCs w:val="24"/>
          <w:lang w:val="es-ES" w:eastAsia="es-ES"/>
        </w:rPr>
        <w:t xml:space="preserve"> de instituciones públicas o privadas, en la forma y condiciones que determine la ley. </w:t>
      </w:r>
      <w:r w:rsidR="00425450" w:rsidRPr="00D24EE6">
        <w:rPr>
          <w:rStyle w:val="Refdenotaalpie"/>
          <w:rFonts w:eastAsia="Times New Roman" w:cstheme="minorHAnsi"/>
          <w:sz w:val="24"/>
          <w:szCs w:val="24"/>
          <w:lang w:val="es-ES" w:eastAsia="es-ES"/>
        </w:rPr>
        <w:footnoteReference w:id="7"/>
      </w:r>
    </w:p>
    <w:p w:rsidR="00965C87" w:rsidRPr="00D24EE6" w:rsidRDefault="00965C87" w:rsidP="00D24EE6">
      <w:pPr>
        <w:spacing w:after="0" w:line="276" w:lineRule="auto"/>
        <w:jc w:val="both"/>
        <w:rPr>
          <w:rFonts w:eastAsia="Times New Roman" w:cstheme="minorHAnsi"/>
          <w:sz w:val="24"/>
          <w:szCs w:val="24"/>
          <w:lang w:val="es-ES" w:eastAsia="es-ES"/>
        </w:rPr>
      </w:pPr>
    </w:p>
    <w:p w:rsidR="00F63194" w:rsidRPr="00D24EE6" w:rsidRDefault="00F63194"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2.- Que la Enfermedad Celíaca (EC) es de alta prevalencia (afecta a alrededor del 1% de la población general), impactando fuertemente la calidad de vida y es de alto costo para el paciente y su familia. El único tratamiento para un celíaco es adoptar una Dieta Libre de Gluten (DLG) de por vida, estricta y permanente.</w:t>
      </w:r>
    </w:p>
    <w:p w:rsidR="00F63194" w:rsidRDefault="00F63194" w:rsidP="00D24EE6">
      <w:pPr>
        <w:spacing w:after="0" w:line="276" w:lineRule="auto"/>
        <w:jc w:val="both"/>
        <w:rPr>
          <w:rFonts w:eastAsia="Times New Roman" w:cstheme="minorHAnsi"/>
          <w:sz w:val="24"/>
          <w:szCs w:val="24"/>
          <w:lang w:val="es-ES" w:eastAsia="es-ES"/>
        </w:rPr>
      </w:pPr>
    </w:p>
    <w:p w:rsidR="00BA0C98" w:rsidRDefault="00BA0C98" w:rsidP="00BA0C98">
      <w:pPr>
        <w:spacing w:after="0" w:line="276" w:lineRule="auto"/>
        <w:jc w:val="both"/>
        <w:rPr>
          <w:rFonts w:eastAsia="Times New Roman" w:cstheme="minorHAnsi"/>
          <w:sz w:val="24"/>
          <w:szCs w:val="24"/>
          <w:lang w:val="es-ES" w:eastAsia="es-ES"/>
        </w:rPr>
      </w:pPr>
      <w:r>
        <w:rPr>
          <w:rFonts w:eastAsia="Times New Roman" w:cstheme="minorHAnsi"/>
          <w:sz w:val="24"/>
          <w:szCs w:val="24"/>
          <w:lang w:val="es-ES" w:eastAsia="es-ES"/>
        </w:rPr>
        <w:t xml:space="preserve">3.- </w:t>
      </w:r>
      <w:r w:rsidR="00FC16D0">
        <w:rPr>
          <w:rFonts w:eastAsia="Times New Roman" w:cstheme="minorHAnsi"/>
          <w:sz w:val="24"/>
          <w:szCs w:val="24"/>
          <w:lang w:val="es-ES" w:eastAsia="es-ES"/>
        </w:rPr>
        <w:t>Que L</w:t>
      </w:r>
      <w:r w:rsidRPr="00BA0C98">
        <w:rPr>
          <w:rFonts w:eastAsia="Times New Roman" w:cstheme="minorHAnsi"/>
          <w:sz w:val="24"/>
          <w:szCs w:val="24"/>
          <w:lang w:val="es-ES" w:eastAsia="es-ES"/>
        </w:rPr>
        <w:t>os alimentos sin gluten se elevan tres veces más que</w:t>
      </w:r>
      <w:r>
        <w:rPr>
          <w:rFonts w:eastAsia="Times New Roman" w:cstheme="minorHAnsi"/>
          <w:sz w:val="24"/>
          <w:szCs w:val="24"/>
          <w:lang w:val="es-ES" w:eastAsia="es-ES"/>
        </w:rPr>
        <w:t xml:space="preserve"> </w:t>
      </w:r>
      <w:r w:rsidRPr="00BA0C98">
        <w:rPr>
          <w:rFonts w:eastAsia="Times New Roman" w:cstheme="minorHAnsi"/>
          <w:sz w:val="24"/>
          <w:szCs w:val="24"/>
          <w:lang w:val="es-ES" w:eastAsia="es-ES"/>
        </w:rPr>
        <w:t>los alimentos que si lo contienen, considerando que la canasta incluye el pan</w:t>
      </w:r>
      <w:r>
        <w:rPr>
          <w:rFonts w:eastAsia="Times New Roman" w:cstheme="minorHAnsi"/>
          <w:sz w:val="24"/>
          <w:szCs w:val="24"/>
          <w:lang w:val="es-ES" w:eastAsia="es-ES"/>
        </w:rPr>
        <w:t xml:space="preserve"> </w:t>
      </w:r>
      <w:r w:rsidRPr="00BA0C98">
        <w:rPr>
          <w:rFonts w:eastAsia="Times New Roman" w:cstheme="minorHAnsi"/>
          <w:sz w:val="24"/>
          <w:szCs w:val="24"/>
          <w:lang w:val="es-ES" w:eastAsia="es-ES"/>
        </w:rPr>
        <w:t xml:space="preserve">como un elemento esencial para </w:t>
      </w:r>
      <w:r w:rsidR="000929DF">
        <w:rPr>
          <w:rFonts w:eastAsia="Times New Roman" w:cstheme="minorHAnsi"/>
          <w:sz w:val="24"/>
          <w:szCs w:val="24"/>
          <w:lang w:val="es-ES" w:eastAsia="es-ES"/>
        </w:rPr>
        <w:t xml:space="preserve">   </w:t>
      </w:r>
      <w:r w:rsidRPr="00BA0C98">
        <w:rPr>
          <w:rFonts w:eastAsia="Times New Roman" w:cstheme="minorHAnsi"/>
          <w:sz w:val="24"/>
          <w:szCs w:val="24"/>
          <w:lang w:val="es-ES" w:eastAsia="es-ES"/>
        </w:rPr>
        <w:t>la dieta de los chilenos. El aumento</w:t>
      </w:r>
      <w:r>
        <w:rPr>
          <w:rFonts w:eastAsia="Times New Roman" w:cstheme="minorHAnsi"/>
          <w:sz w:val="24"/>
          <w:szCs w:val="24"/>
          <w:lang w:val="es-ES" w:eastAsia="es-ES"/>
        </w:rPr>
        <w:t xml:space="preserve"> </w:t>
      </w:r>
      <w:r w:rsidRPr="00BA0C98">
        <w:rPr>
          <w:rFonts w:eastAsia="Times New Roman" w:cstheme="minorHAnsi"/>
          <w:sz w:val="24"/>
          <w:szCs w:val="24"/>
          <w:lang w:val="es-ES" w:eastAsia="es-ES"/>
        </w:rPr>
        <w:t>significativo del valor de los alimentos libre de</w:t>
      </w:r>
      <w:r w:rsidR="000929DF">
        <w:rPr>
          <w:rFonts w:eastAsia="Times New Roman" w:cstheme="minorHAnsi"/>
          <w:sz w:val="24"/>
          <w:szCs w:val="24"/>
          <w:lang w:val="es-ES" w:eastAsia="es-ES"/>
        </w:rPr>
        <w:t xml:space="preserve">    </w:t>
      </w:r>
      <w:r w:rsidRPr="00BA0C98">
        <w:rPr>
          <w:rFonts w:eastAsia="Times New Roman" w:cstheme="minorHAnsi"/>
          <w:sz w:val="24"/>
          <w:szCs w:val="24"/>
          <w:lang w:val="es-ES" w:eastAsia="es-ES"/>
        </w:rPr>
        <w:t>gluten, se deben al alza de los</w:t>
      </w:r>
      <w:r>
        <w:rPr>
          <w:rFonts w:eastAsia="Times New Roman" w:cstheme="minorHAnsi"/>
          <w:sz w:val="24"/>
          <w:szCs w:val="24"/>
          <w:lang w:val="es-ES" w:eastAsia="es-ES"/>
        </w:rPr>
        <w:t xml:space="preserve"> </w:t>
      </w:r>
      <w:r w:rsidRPr="00BA0C98">
        <w:rPr>
          <w:rFonts w:eastAsia="Times New Roman" w:cstheme="minorHAnsi"/>
          <w:sz w:val="24"/>
          <w:szCs w:val="24"/>
          <w:lang w:val="es-ES" w:eastAsia="es-ES"/>
        </w:rPr>
        <w:t>costos de producción por el aumento de las materias primas, nivel de</w:t>
      </w:r>
      <w:r>
        <w:rPr>
          <w:rFonts w:eastAsia="Times New Roman" w:cstheme="minorHAnsi"/>
          <w:sz w:val="24"/>
          <w:szCs w:val="24"/>
          <w:lang w:val="es-ES" w:eastAsia="es-ES"/>
        </w:rPr>
        <w:t xml:space="preserve"> </w:t>
      </w:r>
      <w:r w:rsidRPr="00BA0C98">
        <w:rPr>
          <w:rFonts w:eastAsia="Times New Roman" w:cstheme="minorHAnsi"/>
          <w:sz w:val="24"/>
          <w:szCs w:val="24"/>
          <w:lang w:val="es-ES" w:eastAsia="es-ES"/>
        </w:rPr>
        <w:t>especialización y desarrollo tecnológico como certificación de la línea del</w:t>
      </w:r>
      <w:r>
        <w:rPr>
          <w:rFonts w:eastAsia="Times New Roman" w:cstheme="minorHAnsi"/>
          <w:sz w:val="24"/>
          <w:szCs w:val="24"/>
          <w:lang w:val="es-ES" w:eastAsia="es-ES"/>
        </w:rPr>
        <w:t xml:space="preserve"> </w:t>
      </w:r>
      <w:r w:rsidRPr="00BA0C98">
        <w:rPr>
          <w:rFonts w:eastAsia="Times New Roman" w:cstheme="minorHAnsi"/>
          <w:sz w:val="24"/>
          <w:szCs w:val="24"/>
          <w:lang w:val="es-ES" w:eastAsia="es-ES"/>
        </w:rPr>
        <w:t>producto, más los costos de envío a regiones.</w:t>
      </w:r>
    </w:p>
    <w:p w:rsidR="00BA0C98" w:rsidRPr="00D24EE6" w:rsidRDefault="00BA0C98" w:rsidP="00BA0C98">
      <w:pPr>
        <w:spacing w:after="0" w:line="276" w:lineRule="auto"/>
        <w:jc w:val="both"/>
        <w:rPr>
          <w:rFonts w:eastAsia="Times New Roman" w:cstheme="minorHAnsi"/>
          <w:sz w:val="24"/>
          <w:szCs w:val="24"/>
          <w:lang w:val="es-ES" w:eastAsia="es-ES"/>
        </w:rPr>
      </w:pPr>
    </w:p>
    <w:p w:rsidR="00E543C8" w:rsidRPr="00D24EE6" w:rsidRDefault="00D6134F" w:rsidP="00D24EE6">
      <w:pPr>
        <w:spacing w:after="0" w:line="276" w:lineRule="auto"/>
        <w:jc w:val="both"/>
        <w:rPr>
          <w:rFonts w:eastAsia="Times New Roman" w:cstheme="minorHAnsi"/>
          <w:sz w:val="24"/>
          <w:szCs w:val="24"/>
          <w:lang w:val="es-ES" w:eastAsia="es-ES"/>
        </w:rPr>
      </w:pPr>
      <w:r>
        <w:rPr>
          <w:rFonts w:eastAsia="Times New Roman" w:cstheme="minorHAnsi"/>
          <w:sz w:val="24"/>
          <w:szCs w:val="24"/>
          <w:lang w:val="es-ES" w:eastAsia="es-ES"/>
        </w:rPr>
        <w:t>4</w:t>
      </w:r>
      <w:r w:rsidR="00F63194" w:rsidRPr="00D24EE6">
        <w:rPr>
          <w:rFonts w:eastAsia="Times New Roman" w:cstheme="minorHAnsi"/>
          <w:sz w:val="24"/>
          <w:szCs w:val="24"/>
          <w:lang w:val="es-ES" w:eastAsia="es-ES"/>
        </w:rPr>
        <w:t>.- Que la l</w:t>
      </w:r>
      <w:r w:rsidR="00E543C8" w:rsidRPr="00D24EE6">
        <w:rPr>
          <w:rFonts w:eastAsia="Times New Roman" w:cstheme="minorHAnsi"/>
          <w:sz w:val="24"/>
          <w:szCs w:val="24"/>
          <w:lang w:val="es-ES" w:eastAsia="es-ES"/>
        </w:rPr>
        <w:t xml:space="preserve">ey 20.606 </w:t>
      </w:r>
      <w:r w:rsidR="00DD0B1B">
        <w:rPr>
          <w:rFonts w:eastAsia="Times New Roman" w:cstheme="minorHAnsi"/>
          <w:sz w:val="24"/>
          <w:szCs w:val="24"/>
          <w:lang w:val="es-ES" w:eastAsia="es-ES"/>
        </w:rPr>
        <w:t>S</w:t>
      </w:r>
      <w:r w:rsidR="00E543C8" w:rsidRPr="00D24EE6">
        <w:rPr>
          <w:rFonts w:eastAsia="Times New Roman" w:cstheme="minorHAnsi"/>
          <w:sz w:val="24"/>
          <w:szCs w:val="24"/>
          <w:lang w:val="es-ES" w:eastAsia="es-ES"/>
        </w:rPr>
        <w:t xml:space="preserve">obre </w:t>
      </w:r>
      <w:r w:rsidR="00DD0B1B">
        <w:rPr>
          <w:rFonts w:eastAsia="Times New Roman" w:cstheme="minorHAnsi"/>
          <w:sz w:val="24"/>
          <w:szCs w:val="24"/>
          <w:lang w:val="es-ES" w:eastAsia="es-ES"/>
        </w:rPr>
        <w:t>C</w:t>
      </w:r>
      <w:r w:rsidR="00E543C8" w:rsidRPr="00D24EE6">
        <w:rPr>
          <w:rFonts w:eastAsia="Times New Roman" w:cstheme="minorHAnsi"/>
          <w:sz w:val="24"/>
          <w:szCs w:val="24"/>
          <w:lang w:val="es-ES" w:eastAsia="es-ES"/>
        </w:rPr>
        <w:t xml:space="preserve">omposición </w:t>
      </w:r>
      <w:r w:rsidR="00DD0B1B">
        <w:rPr>
          <w:rFonts w:eastAsia="Times New Roman" w:cstheme="minorHAnsi"/>
          <w:sz w:val="24"/>
          <w:szCs w:val="24"/>
          <w:lang w:val="es-ES" w:eastAsia="es-ES"/>
        </w:rPr>
        <w:t>N</w:t>
      </w:r>
      <w:r w:rsidR="00E543C8" w:rsidRPr="00D24EE6">
        <w:rPr>
          <w:rFonts w:eastAsia="Times New Roman" w:cstheme="minorHAnsi"/>
          <w:sz w:val="24"/>
          <w:szCs w:val="24"/>
          <w:lang w:val="es-ES" w:eastAsia="es-ES"/>
        </w:rPr>
        <w:t xml:space="preserve">utricional de los </w:t>
      </w:r>
      <w:r w:rsidR="00DD0B1B">
        <w:rPr>
          <w:rFonts w:eastAsia="Times New Roman" w:cstheme="minorHAnsi"/>
          <w:sz w:val="24"/>
          <w:szCs w:val="24"/>
          <w:lang w:val="es-ES" w:eastAsia="es-ES"/>
        </w:rPr>
        <w:t>A</w:t>
      </w:r>
      <w:r w:rsidR="00E543C8" w:rsidRPr="00D24EE6">
        <w:rPr>
          <w:rFonts w:eastAsia="Times New Roman" w:cstheme="minorHAnsi"/>
          <w:sz w:val="24"/>
          <w:szCs w:val="24"/>
          <w:lang w:val="es-ES" w:eastAsia="es-ES"/>
        </w:rPr>
        <w:t xml:space="preserve">limentos contiene orientaciones generales </w:t>
      </w:r>
      <w:r w:rsidR="0012159C" w:rsidRPr="00D24EE6">
        <w:rPr>
          <w:rFonts w:eastAsia="Times New Roman" w:cstheme="minorHAnsi"/>
          <w:sz w:val="24"/>
          <w:szCs w:val="24"/>
          <w:lang w:val="es-ES" w:eastAsia="es-ES"/>
        </w:rPr>
        <w:t xml:space="preserve">para </w:t>
      </w:r>
      <w:r w:rsidR="00E543C8" w:rsidRPr="00D24EE6">
        <w:rPr>
          <w:rFonts w:eastAsia="Times New Roman" w:cstheme="minorHAnsi"/>
          <w:sz w:val="24"/>
          <w:szCs w:val="24"/>
          <w:lang w:val="es-ES" w:eastAsia="es-ES"/>
        </w:rPr>
        <w:t>procura</w:t>
      </w:r>
      <w:r w:rsidR="0012159C" w:rsidRPr="00D24EE6">
        <w:rPr>
          <w:rFonts w:eastAsia="Times New Roman" w:cstheme="minorHAnsi"/>
          <w:sz w:val="24"/>
          <w:szCs w:val="24"/>
          <w:lang w:val="es-ES" w:eastAsia="es-ES"/>
        </w:rPr>
        <w:t>r</w:t>
      </w:r>
      <w:r w:rsidR="00E543C8" w:rsidRPr="00D24EE6">
        <w:rPr>
          <w:rFonts w:eastAsia="Times New Roman" w:cstheme="minorHAnsi"/>
          <w:sz w:val="24"/>
          <w:szCs w:val="24"/>
          <w:lang w:val="es-ES" w:eastAsia="es-ES"/>
        </w:rPr>
        <w:t xml:space="preserve"> una alimentación saludable. Sin </w:t>
      </w:r>
      <w:r w:rsidR="0012159C" w:rsidRPr="00D24EE6">
        <w:rPr>
          <w:rFonts w:eastAsia="Times New Roman" w:cstheme="minorHAnsi"/>
          <w:sz w:val="24"/>
          <w:szCs w:val="24"/>
          <w:lang w:val="es-ES" w:eastAsia="es-ES"/>
        </w:rPr>
        <w:t xml:space="preserve">embargo, </w:t>
      </w:r>
      <w:r w:rsidR="00E543C8" w:rsidRPr="00D24EE6">
        <w:rPr>
          <w:rFonts w:eastAsia="Times New Roman" w:cstheme="minorHAnsi"/>
          <w:sz w:val="24"/>
          <w:szCs w:val="24"/>
          <w:lang w:val="es-ES" w:eastAsia="es-ES"/>
        </w:rPr>
        <w:t xml:space="preserve">las demandas </w:t>
      </w:r>
      <w:r w:rsidR="0012159C" w:rsidRPr="00D24EE6">
        <w:rPr>
          <w:rFonts w:eastAsia="Times New Roman" w:cstheme="minorHAnsi"/>
          <w:sz w:val="24"/>
          <w:szCs w:val="24"/>
          <w:lang w:val="es-ES" w:eastAsia="es-ES"/>
        </w:rPr>
        <w:t xml:space="preserve">para </w:t>
      </w:r>
      <w:r w:rsidR="00E543C8" w:rsidRPr="00D24EE6">
        <w:rPr>
          <w:rFonts w:eastAsia="Times New Roman" w:cstheme="minorHAnsi"/>
          <w:sz w:val="24"/>
          <w:szCs w:val="24"/>
          <w:lang w:val="es-ES" w:eastAsia="es-ES"/>
        </w:rPr>
        <w:t>una alimentación saludable no sólo implica</w:t>
      </w:r>
      <w:r w:rsidR="0012159C" w:rsidRPr="00D24EE6">
        <w:rPr>
          <w:rFonts w:eastAsia="Times New Roman" w:cstheme="minorHAnsi"/>
          <w:sz w:val="24"/>
          <w:szCs w:val="24"/>
          <w:lang w:val="es-ES" w:eastAsia="es-ES"/>
        </w:rPr>
        <w:t>n</w:t>
      </w:r>
      <w:r w:rsidR="00E543C8" w:rsidRPr="00D24EE6">
        <w:rPr>
          <w:rFonts w:eastAsia="Times New Roman" w:cstheme="minorHAnsi"/>
          <w:sz w:val="24"/>
          <w:szCs w:val="24"/>
          <w:lang w:val="es-ES" w:eastAsia="es-ES"/>
        </w:rPr>
        <w:t xml:space="preserve"> que ésta sea baja en azúcares, grasas o sodio, sino que también de respuesta a las necesidades particulares </w:t>
      </w:r>
      <w:r w:rsidR="000929DF">
        <w:rPr>
          <w:rFonts w:eastAsia="Times New Roman" w:cstheme="minorHAnsi"/>
          <w:sz w:val="24"/>
          <w:szCs w:val="24"/>
          <w:lang w:val="es-ES" w:eastAsia="es-ES"/>
        </w:rPr>
        <w:t xml:space="preserve">   </w:t>
      </w:r>
      <w:r w:rsidR="00E543C8" w:rsidRPr="00D24EE6">
        <w:rPr>
          <w:rFonts w:eastAsia="Times New Roman" w:cstheme="minorHAnsi"/>
          <w:sz w:val="24"/>
          <w:szCs w:val="24"/>
          <w:lang w:val="es-ES" w:eastAsia="es-ES"/>
        </w:rPr>
        <w:t>de un segmento de la población cada vez mayor, particularmente de la población</w:t>
      </w:r>
      <w:r w:rsidR="0012159C" w:rsidRPr="00D24EE6">
        <w:rPr>
          <w:rFonts w:eastAsia="Times New Roman" w:cstheme="minorHAnsi"/>
          <w:sz w:val="24"/>
          <w:szCs w:val="24"/>
          <w:lang w:val="es-ES" w:eastAsia="es-ES"/>
        </w:rPr>
        <w:t xml:space="preserve"> que sufre de enfermedad</w:t>
      </w:r>
      <w:r w:rsidR="00E543C8" w:rsidRPr="00D24EE6">
        <w:rPr>
          <w:rFonts w:eastAsia="Times New Roman" w:cstheme="minorHAnsi"/>
          <w:sz w:val="24"/>
          <w:szCs w:val="24"/>
          <w:lang w:val="es-ES" w:eastAsia="es-ES"/>
        </w:rPr>
        <w:t xml:space="preserve"> cel</w:t>
      </w:r>
      <w:r w:rsidR="0012159C" w:rsidRPr="00D24EE6">
        <w:rPr>
          <w:rFonts w:eastAsia="Times New Roman" w:cstheme="minorHAnsi"/>
          <w:sz w:val="24"/>
          <w:szCs w:val="24"/>
          <w:lang w:val="es-ES" w:eastAsia="es-ES"/>
        </w:rPr>
        <w:t>í</w:t>
      </w:r>
      <w:r w:rsidR="00E543C8" w:rsidRPr="00D24EE6">
        <w:rPr>
          <w:rFonts w:eastAsia="Times New Roman" w:cstheme="minorHAnsi"/>
          <w:sz w:val="24"/>
          <w:szCs w:val="24"/>
          <w:lang w:val="es-ES" w:eastAsia="es-ES"/>
        </w:rPr>
        <w:t>aca.</w:t>
      </w:r>
      <w:r w:rsidR="00F63194" w:rsidRPr="00D24EE6">
        <w:rPr>
          <w:rFonts w:eastAsia="Times New Roman" w:cstheme="minorHAnsi"/>
          <w:sz w:val="24"/>
          <w:szCs w:val="24"/>
          <w:lang w:val="es-ES" w:eastAsia="es-ES"/>
        </w:rPr>
        <w:t xml:space="preserve"> </w:t>
      </w:r>
      <w:r w:rsidR="00DD0B1B">
        <w:rPr>
          <w:rFonts w:eastAsia="Times New Roman" w:cstheme="minorHAnsi"/>
          <w:sz w:val="24"/>
          <w:szCs w:val="24"/>
          <w:lang w:val="es-ES" w:eastAsia="es-ES"/>
        </w:rPr>
        <w:t>Además, l</w:t>
      </w:r>
      <w:r w:rsidR="00F63194" w:rsidRPr="00D24EE6">
        <w:rPr>
          <w:rFonts w:eastAsia="Times New Roman" w:cstheme="minorHAnsi"/>
          <w:sz w:val="24"/>
          <w:szCs w:val="24"/>
          <w:lang w:val="es-ES" w:eastAsia="es-ES"/>
        </w:rPr>
        <w:t xml:space="preserve">a norma sólo obliga la información respecto de </w:t>
      </w:r>
      <w:r w:rsidR="000929DF">
        <w:rPr>
          <w:rFonts w:eastAsia="Times New Roman" w:cstheme="minorHAnsi"/>
          <w:sz w:val="24"/>
          <w:szCs w:val="24"/>
          <w:lang w:val="es-ES" w:eastAsia="es-ES"/>
        </w:rPr>
        <w:t xml:space="preserve">  </w:t>
      </w:r>
      <w:r w:rsidR="00F63194" w:rsidRPr="00D24EE6">
        <w:rPr>
          <w:rFonts w:eastAsia="Times New Roman" w:cstheme="minorHAnsi"/>
          <w:sz w:val="24"/>
          <w:szCs w:val="24"/>
          <w:lang w:val="es-ES" w:eastAsia="es-ES"/>
        </w:rPr>
        <w:t xml:space="preserve">los alimentos envasados, existiendo un vacío legal en relación a la obligatoriedad de informar sobre el contenido de comida preparada que se expende en establecimientos. </w:t>
      </w:r>
    </w:p>
    <w:p w:rsidR="00E543C8" w:rsidRPr="00D24EE6" w:rsidRDefault="00E543C8" w:rsidP="00D24EE6">
      <w:pPr>
        <w:spacing w:after="0" w:line="276" w:lineRule="auto"/>
        <w:jc w:val="both"/>
        <w:rPr>
          <w:rFonts w:eastAsia="Times New Roman" w:cstheme="minorHAnsi"/>
          <w:sz w:val="24"/>
          <w:szCs w:val="24"/>
          <w:lang w:val="es-ES" w:eastAsia="es-ES"/>
        </w:rPr>
      </w:pPr>
    </w:p>
    <w:p w:rsidR="00E543C8" w:rsidRPr="00D24EE6" w:rsidRDefault="00D6134F" w:rsidP="00D24EE6">
      <w:pPr>
        <w:spacing w:after="0" w:line="276" w:lineRule="auto"/>
        <w:jc w:val="both"/>
        <w:rPr>
          <w:rFonts w:eastAsia="Times New Roman" w:cstheme="minorHAnsi"/>
          <w:sz w:val="24"/>
          <w:szCs w:val="24"/>
          <w:lang w:val="es-ES" w:eastAsia="es-ES"/>
        </w:rPr>
      </w:pPr>
      <w:r>
        <w:rPr>
          <w:rFonts w:eastAsia="Times New Roman" w:cstheme="minorHAnsi"/>
          <w:sz w:val="24"/>
          <w:szCs w:val="24"/>
          <w:lang w:val="es-ES" w:eastAsia="es-ES"/>
        </w:rPr>
        <w:t>5</w:t>
      </w:r>
      <w:r w:rsidR="00F63194" w:rsidRPr="00D24EE6">
        <w:rPr>
          <w:rFonts w:eastAsia="Times New Roman" w:cstheme="minorHAnsi"/>
          <w:sz w:val="24"/>
          <w:szCs w:val="24"/>
          <w:lang w:val="es-ES" w:eastAsia="es-ES"/>
        </w:rPr>
        <w:t>.- Que l</w:t>
      </w:r>
      <w:r w:rsidR="00E543C8" w:rsidRPr="00D24EE6">
        <w:rPr>
          <w:rFonts w:eastAsia="Times New Roman" w:cstheme="minorHAnsi"/>
          <w:sz w:val="24"/>
          <w:szCs w:val="24"/>
          <w:lang w:val="es-ES" w:eastAsia="es-ES"/>
        </w:rPr>
        <w:t xml:space="preserve">a ley N° 15.720 que crea la Junta Nacional de Auxilio Escolar y Becas (JUNAEB) entre sus funciones está administrar el Programa de Alimentación Estudiantil (PAE), que tiene como finalidad entregar diariamente servicios de alimentación, en su mayoría desayunos y almuerzos, a aquellos estudiantes vulnerables que asisten a </w:t>
      </w:r>
      <w:r w:rsidR="000929DF">
        <w:rPr>
          <w:rFonts w:eastAsia="Times New Roman" w:cstheme="minorHAnsi"/>
          <w:sz w:val="24"/>
          <w:szCs w:val="24"/>
          <w:lang w:val="es-ES" w:eastAsia="es-ES"/>
        </w:rPr>
        <w:t xml:space="preserve">  </w:t>
      </w:r>
      <w:r w:rsidR="00E543C8" w:rsidRPr="00D24EE6">
        <w:rPr>
          <w:rFonts w:eastAsia="Times New Roman" w:cstheme="minorHAnsi"/>
          <w:sz w:val="24"/>
          <w:szCs w:val="24"/>
          <w:lang w:val="es-ES" w:eastAsia="es-ES"/>
        </w:rPr>
        <w:t xml:space="preserve">Establecimientos Educacionales a nivel nacional.  Actualmente, se encuentra en </w:t>
      </w:r>
      <w:r w:rsidR="000929DF">
        <w:rPr>
          <w:rFonts w:eastAsia="Times New Roman" w:cstheme="minorHAnsi"/>
          <w:sz w:val="24"/>
          <w:szCs w:val="24"/>
          <w:lang w:val="es-ES" w:eastAsia="es-ES"/>
        </w:rPr>
        <w:t xml:space="preserve">  </w:t>
      </w:r>
      <w:r w:rsidR="00E543C8" w:rsidRPr="00D24EE6">
        <w:rPr>
          <w:rFonts w:eastAsia="Times New Roman" w:cstheme="minorHAnsi"/>
          <w:sz w:val="24"/>
          <w:szCs w:val="24"/>
          <w:lang w:val="es-ES" w:eastAsia="es-ES"/>
        </w:rPr>
        <w:t>ejecución un programa de alimentación especial para celíacos, con el objetivo de promover una mayor inclusión social e igualdad de oportunidades de acceso para estudiantes en situación de vulnerabilidad.</w:t>
      </w:r>
    </w:p>
    <w:p w:rsidR="000929DF" w:rsidRDefault="000929DF">
      <w:pPr>
        <w:rPr>
          <w:rFonts w:eastAsia="Times New Roman" w:cstheme="minorHAnsi"/>
          <w:sz w:val="24"/>
          <w:szCs w:val="24"/>
          <w:lang w:val="es-ES" w:eastAsia="es-ES"/>
        </w:rPr>
      </w:pPr>
      <w:r>
        <w:rPr>
          <w:rFonts w:eastAsia="Times New Roman" w:cstheme="minorHAnsi"/>
          <w:sz w:val="24"/>
          <w:szCs w:val="24"/>
          <w:lang w:val="es-ES" w:eastAsia="es-ES"/>
        </w:rPr>
        <w:br w:type="page"/>
      </w:r>
    </w:p>
    <w:p w:rsidR="00FA057D" w:rsidRPr="00D24EE6" w:rsidRDefault="00FA057D" w:rsidP="00D24EE6">
      <w:pPr>
        <w:spacing w:after="0" w:line="276" w:lineRule="auto"/>
        <w:jc w:val="both"/>
        <w:rPr>
          <w:rFonts w:eastAsia="Times New Roman" w:cstheme="minorHAnsi"/>
          <w:sz w:val="24"/>
          <w:szCs w:val="24"/>
          <w:lang w:val="es-ES" w:eastAsia="es-ES"/>
        </w:rPr>
      </w:pPr>
    </w:p>
    <w:p w:rsidR="00E543C8" w:rsidRPr="00D24EE6" w:rsidRDefault="00D6134F" w:rsidP="00D24EE6">
      <w:pPr>
        <w:spacing w:after="0" w:line="276" w:lineRule="auto"/>
        <w:jc w:val="both"/>
        <w:rPr>
          <w:rFonts w:eastAsia="Times New Roman" w:cstheme="minorHAnsi"/>
          <w:sz w:val="24"/>
          <w:szCs w:val="24"/>
          <w:lang w:val="es-ES" w:eastAsia="es-ES"/>
        </w:rPr>
      </w:pPr>
      <w:r>
        <w:rPr>
          <w:rFonts w:eastAsia="Times New Roman" w:cstheme="minorHAnsi"/>
          <w:sz w:val="24"/>
          <w:szCs w:val="24"/>
          <w:lang w:val="es-ES" w:eastAsia="es-ES"/>
        </w:rPr>
        <w:t>6</w:t>
      </w:r>
      <w:r w:rsidR="00D24EE6" w:rsidRPr="00D24EE6">
        <w:rPr>
          <w:rFonts w:eastAsia="Times New Roman" w:cstheme="minorHAnsi"/>
          <w:sz w:val="24"/>
          <w:szCs w:val="24"/>
          <w:lang w:val="es-ES" w:eastAsia="es-ES"/>
        </w:rPr>
        <w:t xml:space="preserve">.- </w:t>
      </w:r>
      <w:r w:rsidR="00FA057D" w:rsidRPr="00D24EE6">
        <w:rPr>
          <w:rFonts w:eastAsia="Times New Roman" w:cstheme="minorHAnsi"/>
          <w:sz w:val="24"/>
          <w:szCs w:val="24"/>
          <w:lang w:val="es-ES" w:eastAsia="es-ES"/>
        </w:rPr>
        <w:t xml:space="preserve">Que ley N°19.886 ley </w:t>
      </w:r>
      <w:r w:rsidR="00D24EE6" w:rsidRPr="00D24EE6">
        <w:rPr>
          <w:rFonts w:eastAsia="Times New Roman" w:cstheme="minorHAnsi"/>
          <w:sz w:val="24"/>
          <w:szCs w:val="24"/>
          <w:lang w:val="es-ES" w:eastAsia="es-ES"/>
        </w:rPr>
        <w:t>de Bases</w:t>
      </w:r>
      <w:r w:rsidR="00FA057D" w:rsidRPr="00D24EE6">
        <w:rPr>
          <w:rFonts w:eastAsia="Times New Roman" w:cstheme="minorHAnsi"/>
          <w:sz w:val="24"/>
          <w:szCs w:val="24"/>
          <w:lang w:val="es-ES" w:eastAsia="es-ES"/>
        </w:rPr>
        <w:t xml:space="preserve"> Sobre Contratos Administrativos de Suministro y Prestación de Servicios es la que regula los contratos que celebre la Administración del Estado, para el suministro de </w:t>
      </w:r>
      <w:r w:rsidR="00D24EE6" w:rsidRPr="00D24EE6">
        <w:rPr>
          <w:rFonts w:eastAsia="Times New Roman" w:cstheme="minorHAnsi"/>
          <w:sz w:val="24"/>
          <w:szCs w:val="24"/>
          <w:lang w:val="es-ES" w:eastAsia="es-ES"/>
        </w:rPr>
        <w:t>servicios de alimentación de los establecimientos educacionales de nuestro país.</w:t>
      </w:r>
    </w:p>
    <w:p w:rsidR="00E543C8" w:rsidRPr="00D24EE6" w:rsidRDefault="00E543C8" w:rsidP="00D24EE6">
      <w:pPr>
        <w:spacing w:after="0" w:line="276" w:lineRule="auto"/>
        <w:jc w:val="both"/>
        <w:rPr>
          <w:rFonts w:eastAsia="Times New Roman" w:cstheme="minorHAnsi"/>
          <w:sz w:val="24"/>
          <w:szCs w:val="24"/>
          <w:lang w:val="es-ES" w:eastAsia="es-ES"/>
        </w:rPr>
      </w:pPr>
    </w:p>
    <w:p w:rsidR="00D24EE6" w:rsidRPr="00D24EE6" w:rsidRDefault="00D24EE6" w:rsidP="00D24EE6">
      <w:pPr>
        <w:spacing w:after="0" w:line="276" w:lineRule="auto"/>
        <w:jc w:val="both"/>
        <w:rPr>
          <w:rFonts w:eastAsia="Times New Roman" w:cstheme="minorHAnsi"/>
          <w:sz w:val="24"/>
          <w:szCs w:val="24"/>
          <w:lang w:val="es-ES" w:eastAsia="es-ES"/>
        </w:rPr>
      </w:pPr>
    </w:p>
    <w:p w:rsidR="00B94504" w:rsidRPr="00D24EE6" w:rsidRDefault="00D24EE6" w:rsidP="00D24EE6">
      <w:pPr>
        <w:spacing w:after="0" w:line="276" w:lineRule="auto"/>
        <w:jc w:val="both"/>
        <w:rPr>
          <w:rFonts w:eastAsia="Times New Roman" w:cstheme="minorHAnsi"/>
          <w:sz w:val="24"/>
          <w:szCs w:val="24"/>
          <w:lang w:val="es-ES" w:eastAsia="es-ES"/>
        </w:rPr>
      </w:pPr>
      <w:r w:rsidRPr="00D24EE6">
        <w:rPr>
          <w:rFonts w:eastAsia="Times New Roman" w:cstheme="minorHAnsi"/>
          <w:sz w:val="24"/>
          <w:szCs w:val="24"/>
          <w:lang w:val="es-ES" w:eastAsia="es-ES"/>
        </w:rPr>
        <w:t>Finalmente,</w:t>
      </w:r>
      <w:r w:rsidR="00B94504" w:rsidRPr="00D24EE6">
        <w:rPr>
          <w:rFonts w:eastAsia="Times New Roman" w:cstheme="minorHAnsi"/>
          <w:sz w:val="24"/>
          <w:szCs w:val="24"/>
          <w:lang w:val="es-ES" w:eastAsia="es-ES"/>
        </w:rPr>
        <w:t xml:space="preserve"> y entendiendo que el proyecto que pongo en vuestro </w:t>
      </w:r>
      <w:r w:rsidR="0030536D" w:rsidRPr="00D24EE6">
        <w:rPr>
          <w:rFonts w:eastAsia="Times New Roman" w:cstheme="minorHAnsi"/>
          <w:sz w:val="24"/>
          <w:szCs w:val="24"/>
          <w:lang w:val="es-ES" w:eastAsia="es-ES"/>
        </w:rPr>
        <w:t>conocimiento</w:t>
      </w:r>
      <w:r w:rsidR="00B94504" w:rsidRPr="00D24EE6">
        <w:rPr>
          <w:rFonts w:eastAsia="Times New Roman" w:cstheme="minorHAnsi"/>
          <w:sz w:val="24"/>
          <w:szCs w:val="24"/>
          <w:lang w:val="es-ES" w:eastAsia="es-ES"/>
        </w:rPr>
        <w:t xml:space="preserve"> </w:t>
      </w:r>
      <w:r w:rsidR="00965C87" w:rsidRPr="00D24EE6">
        <w:rPr>
          <w:rFonts w:eastAsia="Times New Roman" w:cstheme="minorHAnsi"/>
          <w:sz w:val="24"/>
          <w:szCs w:val="24"/>
          <w:lang w:val="es-ES" w:eastAsia="es-ES"/>
        </w:rPr>
        <w:t>no soluciona todas las problemáticas presentadas</w:t>
      </w:r>
      <w:r w:rsidR="00FA057D" w:rsidRPr="00D24EE6">
        <w:rPr>
          <w:rFonts w:eastAsia="Times New Roman" w:cstheme="minorHAnsi"/>
          <w:sz w:val="24"/>
          <w:szCs w:val="24"/>
          <w:lang w:val="es-ES" w:eastAsia="es-ES"/>
        </w:rPr>
        <w:t xml:space="preserve"> por las limitaciones presupuestarias de </w:t>
      </w:r>
      <w:r w:rsidR="000929DF">
        <w:rPr>
          <w:rFonts w:eastAsia="Times New Roman" w:cstheme="minorHAnsi"/>
          <w:sz w:val="24"/>
          <w:szCs w:val="24"/>
          <w:lang w:val="es-ES" w:eastAsia="es-ES"/>
        </w:rPr>
        <w:t xml:space="preserve"> </w:t>
      </w:r>
      <w:r w:rsidR="00FA057D" w:rsidRPr="00D24EE6">
        <w:rPr>
          <w:rFonts w:eastAsia="Times New Roman" w:cstheme="minorHAnsi"/>
          <w:sz w:val="24"/>
          <w:szCs w:val="24"/>
          <w:lang w:val="es-ES" w:eastAsia="es-ES"/>
        </w:rPr>
        <w:t>una moción parlamentaria</w:t>
      </w:r>
      <w:r w:rsidR="00965C87" w:rsidRPr="00D24EE6">
        <w:rPr>
          <w:rFonts w:eastAsia="Times New Roman" w:cstheme="minorHAnsi"/>
          <w:sz w:val="24"/>
          <w:szCs w:val="24"/>
          <w:lang w:val="es-ES" w:eastAsia="es-ES"/>
        </w:rPr>
        <w:t xml:space="preserve">, </w:t>
      </w:r>
      <w:r w:rsidR="00B94504" w:rsidRPr="00D24EE6">
        <w:rPr>
          <w:rFonts w:eastAsia="Times New Roman" w:cstheme="minorHAnsi"/>
          <w:sz w:val="24"/>
          <w:szCs w:val="24"/>
          <w:lang w:val="es-ES" w:eastAsia="es-ES"/>
        </w:rPr>
        <w:t xml:space="preserve">se </w:t>
      </w:r>
      <w:r w:rsidR="00650157" w:rsidRPr="00D24EE6">
        <w:rPr>
          <w:rFonts w:eastAsia="Times New Roman" w:cstheme="minorHAnsi"/>
          <w:sz w:val="24"/>
          <w:szCs w:val="24"/>
          <w:lang w:val="es-ES" w:eastAsia="es-ES"/>
        </w:rPr>
        <w:t>considera,</w:t>
      </w:r>
      <w:r w:rsidR="00FA057D" w:rsidRPr="00D24EE6">
        <w:rPr>
          <w:rFonts w:eastAsia="Times New Roman" w:cstheme="minorHAnsi"/>
          <w:sz w:val="24"/>
          <w:szCs w:val="24"/>
          <w:lang w:val="es-ES" w:eastAsia="es-ES"/>
        </w:rPr>
        <w:t xml:space="preserve"> </w:t>
      </w:r>
      <w:r w:rsidR="00650157">
        <w:rPr>
          <w:rFonts w:eastAsia="Times New Roman" w:cstheme="minorHAnsi"/>
          <w:sz w:val="24"/>
          <w:szCs w:val="24"/>
          <w:lang w:val="es-ES" w:eastAsia="es-ES"/>
        </w:rPr>
        <w:t xml:space="preserve">que </w:t>
      </w:r>
      <w:r w:rsidR="00FA057D" w:rsidRPr="00D24EE6">
        <w:rPr>
          <w:rFonts w:eastAsia="Times New Roman" w:cstheme="minorHAnsi"/>
          <w:sz w:val="24"/>
          <w:szCs w:val="24"/>
          <w:lang w:val="es-ES" w:eastAsia="es-ES"/>
        </w:rPr>
        <w:t>constituye un avance que mejorará la calidad de vida de las personas que sufren la enfermedad celíaca</w:t>
      </w:r>
      <w:r w:rsidR="00650157">
        <w:rPr>
          <w:rFonts w:eastAsia="Times New Roman" w:cstheme="minorHAnsi"/>
          <w:sz w:val="24"/>
          <w:szCs w:val="24"/>
          <w:lang w:val="es-ES" w:eastAsia="es-ES"/>
        </w:rPr>
        <w:t>.</w:t>
      </w:r>
    </w:p>
    <w:p w:rsidR="00FA057D" w:rsidRPr="00D24EE6" w:rsidRDefault="00FA057D" w:rsidP="00D24EE6">
      <w:pPr>
        <w:spacing w:after="0" w:line="276" w:lineRule="auto"/>
        <w:jc w:val="both"/>
        <w:rPr>
          <w:rFonts w:eastAsia="Times New Roman" w:cstheme="minorHAnsi"/>
          <w:sz w:val="24"/>
          <w:szCs w:val="24"/>
          <w:lang w:val="es-ES" w:eastAsia="es-ES"/>
        </w:rPr>
      </w:pPr>
    </w:p>
    <w:p w:rsidR="00FC6A78" w:rsidRPr="00D24EE6" w:rsidRDefault="00B94504" w:rsidP="00D24EE6">
      <w:pPr>
        <w:spacing w:line="276" w:lineRule="auto"/>
        <w:jc w:val="both"/>
        <w:rPr>
          <w:rFonts w:eastAsia="Times New Roman" w:cstheme="minorHAnsi"/>
          <w:b/>
          <w:sz w:val="24"/>
          <w:szCs w:val="24"/>
          <w:lang w:val="es-ES" w:eastAsia="es-ES"/>
        </w:rPr>
      </w:pPr>
      <w:r w:rsidRPr="00D24EE6">
        <w:rPr>
          <w:rFonts w:eastAsia="Times New Roman" w:cstheme="minorHAnsi"/>
          <w:sz w:val="24"/>
          <w:szCs w:val="24"/>
          <w:lang w:val="es-ES" w:eastAsia="es-ES"/>
        </w:rPr>
        <w:t>T</w:t>
      </w:r>
      <w:r w:rsidR="00DF7046" w:rsidRPr="00D24EE6">
        <w:rPr>
          <w:rFonts w:eastAsia="Times New Roman" w:cstheme="minorHAnsi"/>
          <w:sz w:val="24"/>
          <w:szCs w:val="24"/>
          <w:lang w:val="es-ES" w:eastAsia="es-ES"/>
        </w:rPr>
        <w:t>engo el honor de someter al conocimiento de la Honorable Cámara de Diputados el siguiente</w:t>
      </w:r>
      <w:r w:rsidR="00EE152E" w:rsidRPr="00D24EE6">
        <w:rPr>
          <w:rFonts w:eastAsia="Times New Roman" w:cstheme="minorHAnsi"/>
          <w:sz w:val="24"/>
          <w:szCs w:val="24"/>
          <w:lang w:val="es-ES" w:eastAsia="es-ES"/>
        </w:rPr>
        <w:t xml:space="preserve"> proyecto de ley, que </w:t>
      </w:r>
      <w:r w:rsidR="00025B9E" w:rsidRPr="00D24EE6">
        <w:rPr>
          <w:rFonts w:eastAsia="Times New Roman" w:cstheme="minorHAnsi"/>
          <w:sz w:val="24"/>
          <w:szCs w:val="24"/>
          <w:lang w:val="es-ES" w:eastAsia="es-ES"/>
        </w:rPr>
        <w:t xml:space="preserve">modifica </w:t>
      </w:r>
      <w:r w:rsidR="00FA057D" w:rsidRPr="00D24EE6">
        <w:rPr>
          <w:rFonts w:eastAsia="Times New Roman" w:cstheme="minorHAnsi"/>
          <w:sz w:val="24"/>
          <w:szCs w:val="24"/>
          <w:lang w:val="es-ES" w:eastAsia="es-ES"/>
        </w:rPr>
        <w:t>la ley 20.606 Sobre Composición Nutricional de</w:t>
      </w:r>
      <w:r w:rsidR="000929DF">
        <w:rPr>
          <w:rFonts w:eastAsia="Times New Roman" w:cstheme="minorHAnsi"/>
          <w:sz w:val="24"/>
          <w:szCs w:val="24"/>
          <w:lang w:val="es-ES" w:eastAsia="es-ES"/>
        </w:rPr>
        <w:t xml:space="preserve"> </w:t>
      </w:r>
      <w:r w:rsidR="00FA057D" w:rsidRPr="00D24EE6">
        <w:rPr>
          <w:rFonts w:eastAsia="Times New Roman" w:cstheme="minorHAnsi"/>
          <w:sz w:val="24"/>
          <w:szCs w:val="24"/>
          <w:lang w:val="es-ES" w:eastAsia="es-ES"/>
        </w:rPr>
        <w:t xml:space="preserve"> los Alimentos y su Publicidad y la </w:t>
      </w:r>
      <w:bookmarkStart w:id="6" w:name="_Hlk16464941"/>
      <w:r w:rsidR="00FA057D" w:rsidRPr="00D24EE6">
        <w:rPr>
          <w:rFonts w:eastAsia="Times New Roman" w:cstheme="minorHAnsi"/>
          <w:sz w:val="24"/>
          <w:szCs w:val="24"/>
          <w:lang w:val="es-ES" w:eastAsia="es-ES"/>
        </w:rPr>
        <w:t xml:space="preserve">ley </w:t>
      </w:r>
      <w:proofErr w:type="gramStart"/>
      <w:r w:rsidR="00FA057D" w:rsidRPr="00D24EE6">
        <w:rPr>
          <w:rFonts w:eastAsia="Times New Roman" w:cstheme="minorHAnsi"/>
          <w:sz w:val="24"/>
          <w:szCs w:val="24"/>
          <w:lang w:val="es-ES" w:eastAsia="es-ES"/>
        </w:rPr>
        <w:t xml:space="preserve">19.886 ley </w:t>
      </w:r>
      <w:r w:rsidR="00D24EE6" w:rsidRPr="00D24EE6">
        <w:rPr>
          <w:rFonts w:eastAsia="Times New Roman" w:cstheme="minorHAnsi"/>
          <w:sz w:val="24"/>
          <w:szCs w:val="24"/>
          <w:lang w:val="es-ES" w:eastAsia="es-ES"/>
        </w:rPr>
        <w:t>de Bases</w:t>
      </w:r>
      <w:r w:rsidR="00FA057D" w:rsidRPr="00D24EE6">
        <w:rPr>
          <w:rFonts w:eastAsia="Times New Roman" w:cstheme="minorHAnsi"/>
          <w:sz w:val="24"/>
          <w:szCs w:val="24"/>
          <w:lang w:val="es-ES" w:eastAsia="es-ES"/>
        </w:rPr>
        <w:t xml:space="preserve"> Sobre Contratos </w:t>
      </w:r>
      <w:r w:rsidR="000929DF">
        <w:rPr>
          <w:rFonts w:eastAsia="Times New Roman" w:cstheme="minorHAnsi"/>
          <w:sz w:val="24"/>
          <w:szCs w:val="24"/>
          <w:lang w:val="es-ES" w:eastAsia="es-ES"/>
        </w:rPr>
        <w:t xml:space="preserve">  </w:t>
      </w:r>
      <w:proofErr w:type="gramEnd"/>
      <w:r w:rsidR="000929DF">
        <w:rPr>
          <w:rFonts w:eastAsia="Times New Roman" w:cstheme="minorHAnsi"/>
          <w:sz w:val="24"/>
          <w:szCs w:val="24"/>
          <w:lang w:val="es-ES" w:eastAsia="es-ES"/>
        </w:rPr>
        <w:t xml:space="preserve"> </w:t>
      </w:r>
      <w:r w:rsidR="00FA057D" w:rsidRPr="00D24EE6">
        <w:rPr>
          <w:rFonts w:eastAsia="Times New Roman" w:cstheme="minorHAnsi"/>
          <w:sz w:val="24"/>
          <w:szCs w:val="24"/>
          <w:lang w:val="es-ES" w:eastAsia="es-ES"/>
        </w:rPr>
        <w:t>Administrativos de Suministro y Prestación de Servicios</w:t>
      </w:r>
      <w:bookmarkEnd w:id="6"/>
      <w:r w:rsidR="00D24EE6" w:rsidRPr="00D24EE6">
        <w:rPr>
          <w:rFonts w:eastAsia="Times New Roman" w:cstheme="minorHAnsi"/>
          <w:sz w:val="24"/>
          <w:szCs w:val="24"/>
          <w:lang w:val="es-ES" w:eastAsia="es-ES"/>
        </w:rPr>
        <w:t>, a saber:</w:t>
      </w:r>
    </w:p>
    <w:p w:rsidR="00FC6A78" w:rsidRPr="00D24EE6" w:rsidRDefault="00FC6A78" w:rsidP="00D24EE6">
      <w:pPr>
        <w:spacing w:after="0" w:line="276" w:lineRule="auto"/>
        <w:jc w:val="center"/>
        <w:rPr>
          <w:rFonts w:eastAsia="Times New Roman" w:cstheme="minorHAnsi"/>
          <w:b/>
          <w:sz w:val="24"/>
          <w:szCs w:val="24"/>
          <w:lang w:val="es-ES" w:eastAsia="es-ES"/>
        </w:rPr>
      </w:pPr>
    </w:p>
    <w:p w:rsidR="00DF7046" w:rsidRPr="00D24EE6" w:rsidRDefault="00DF7046" w:rsidP="00D24EE6">
      <w:pPr>
        <w:spacing w:after="0" w:line="276" w:lineRule="auto"/>
        <w:jc w:val="center"/>
        <w:rPr>
          <w:rFonts w:eastAsia="Times New Roman" w:cstheme="minorHAnsi"/>
          <w:b/>
          <w:sz w:val="24"/>
          <w:szCs w:val="24"/>
          <w:lang w:val="es-ES" w:eastAsia="es-ES"/>
        </w:rPr>
      </w:pPr>
      <w:r w:rsidRPr="00D24EE6">
        <w:rPr>
          <w:rFonts w:eastAsia="Times New Roman" w:cstheme="minorHAnsi"/>
          <w:b/>
          <w:sz w:val="24"/>
          <w:szCs w:val="24"/>
          <w:lang w:val="es-ES" w:eastAsia="es-ES"/>
        </w:rPr>
        <w:t>PROYECTO DE LEY</w:t>
      </w:r>
      <w:r w:rsidR="003E2F93">
        <w:rPr>
          <w:rFonts w:eastAsia="Times New Roman" w:cstheme="minorHAnsi"/>
          <w:b/>
          <w:sz w:val="24"/>
          <w:szCs w:val="24"/>
          <w:lang w:val="es-ES" w:eastAsia="es-ES"/>
        </w:rPr>
        <w:t xml:space="preserve"> PARA LA ENFERMEDAD CELÍACA</w:t>
      </w:r>
    </w:p>
    <w:p w:rsidR="00BA3AB5" w:rsidRPr="00D24EE6" w:rsidRDefault="00BA3AB5" w:rsidP="00D24EE6">
      <w:pPr>
        <w:spacing w:after="0" w:line="276" w:lineRule="auto"/>
        <w:rPr>
          <w:rFonts w:eastAsia="Times New Roman" w:cstheme="minorHAnsi"/>
          <w:b/>
          <w:sz w:val="24"/>
          <w:szCs w:val="24"/>
          <w:lang w:val="es-ES" w:eastAsia="es-ES"/>
        </w:rPr>
      </w:pPr>
    </w:p>
    <w:p w:rsidR="00D24EE6" w:rsidRPr="00D24EE6" w:rsidRDefault="00650157" w:rsidP="00D24EE6">
      <w:pPr>
        <w:spacing w:line="276" w:lineRule="auto"/>
        <w:rPr>
          <w:rFonts w:cstheme="minorHAnsi"/>
          <w:b/>
          <w:bCs/>
          <w:sz w:val="24"/>
          <w:szCs w:val="24"/>
        </w:rPr>
      </w:pPr>
      <w:r>
        <w:rPr>
          <w:rFonts w:cstheme="minorHAnsi"/>
          <w:b/>
          <w:bCs/>
          <w:sz w:val="24"/>
          <w:szCs w:val="24"/>
        </w:rPr>
        <w:t xml:space="preserve">I.- </w:t>
      </w:r>
      <w:r w:rsidR="00D24EE6" w:rsidRPr="00D24EE6">
        <w:rPr>
          <w:rFonts w:cstheme="minorHAnsi"/>
          <w:b/>
          <w:bCs/>
          <w:sz w:val="24"/>
          <w:szCs w:val="24"/>
        </w:rPr>
        <w:t xml:space="preserve">Modifíquese la </w:t>
      </w:r>
      <w:bookmarkStart w:id="7" w:name="_Hlk16458610"/>
      <w:r w:rsidR="00D24EE6" w:rsidRPr="00D24EE6">
        <w:rPr>
          <w:rFonts w:cstheme="minorHAnsi"/>
          <w:b/>
          <w:bCs/>
          <w:sz w:val="24"/>
          <w:szCs w:val="24"/>
        </w:rPr>
        <w:t xml:space="preserve">ley 20.606 </w:t>
      </w:r>
      <w:bookmarkEnd w:id="7"/>
      <w:r w:rsidR="00D24EE6" w:rsidRPr="00D24EE6">
        <w:rPr>
          <w:rFonts w:cstheme="minorHAnsi"/>
          <w:b/>
          <w:bCs/>
          <w:sz w:val="24"/>
          <w:szCs w:val="24"/>
        </w:rPr>
        <w:t>sobre Composición Nutricional de los Alimentos y su Publicidad:</w:t>
      </w:r>
    </w:p>
    <w:p w:rsidR="00D24EE6" w:rsidRPr="00D24EE6" w:rsidRDefault="00D24EE6" w:rsidP="00D24EE6">
      <w:pPr>
        <w:spacing w:line="276" w:lineRule="auto"/>
        <w:rPr>
          <w:rFonts w:cstheme="minorHAnsi"/>
          <w:sz w:val="24"/>
          <w:szCs w:val="24"/>
        </w:rPr>
      </w:pPr>
      <w:r w:rsidRPr="00D24EE6">
        <w:rPr>
          <w:rFonts w:cstheme="minorHAnsi"/>
          <w:sz w:val="24"/>
          <w:szCs w:val="24"/>
        </w:rPr>
        <w:t xml:space="preserve">1.- Para incorporar en el inciso 3 del artículo 2° </w:t>
      </w:r>
      <w:bookmarkStart w:id="8" w:name="_Hlk16458643"/>
      <w:r w:rsidRPr="00D24EE6">
        <w:rPr>
          <w:rFonts w:cstheme="minorHAnsi"/>
          <w:sz w:val="24"/>
          <w:szCs w:val="24"/>
        </w:rPr>
        <w:t>de la ley 20.606</w:t>
      </w:r>
      <w:bookmarkEnd w:id="8"/>
      <w:r w:rsidRPr="00D24EE6">
        <w:rPr>
          <w:rFonts w:cstheme="minorHAnsi"/>
          <w:sz w:val="24"/>
          <w:szCs w:val="24"/>
        </w:rPr>
        <w:t xml:space="preserve">, luego de la frase </w:t>
      </w:r>
      <w:r w:rsidR="000929DF">
        <w:rPr>
          <w:rFonts w:cstheme="minorHAnsi"/>
          <w:sz w:val="24"/>
          <w:szCs w:val="24"/>
        </w:rPr>
        <w:t xml:space="preserve"> </w:t>
      </w:r>
      <w:r w:rsidRPr="00D24EE6">
        <w:rPr>
          <w:rFonts w:cstheme="minorHAnsi"/>
          <w:sz w:val="24"/>
          <w:szCs w:val="24"/>
        </w:rPr>
        <w:t>“grasas saturadas” la siguiente palabra:</w:t>
      </w:r>
    </w:p>
    <w:p w:rsidR="00D24EE6" w:rsidRPr="00D24EE6" w:rsidRDefault="00D24EE6" w:rsidP="00D24EE6">
      <w:pPr>
        <w:spacing w:line="276" w:lineRule="auto"/>
        <w:rPr>
          <w:rFonts w:cstheme="minorHAnsi"/>
          <w:b/>
          <w:bCs/>
          <w:sz w:val="24"/>
          <w:szCs w:val="24"/>
        </w:rPr>
      </w:pPr>
      <w:r w:rsidRPr="00D24EE6">
        <w:rPr>
          <w:rFonts w:cstheme="minorHAnsi"/>
          <w:b/>
          <w:bCs/>
          <w:sz w:val="24"/>
          <w:szCs w:val="24"/>
        </w:rPr>
        <w:tab/>
        <w:t>“, gluten”</w:t>
      </w:r>
    </w:p>
    <w:p w:rsidR="00D24EE6" w:rsidRPr="00D24EE6" w:rsidRDefault="00D24EE6" w:rsidP="00D24EE6">
      <w:pPr>
        <w:spacing w:line="276" w:lineRule="auto"/>
        <w:rPr>
          <w:rFonts w:cstheme="minorHAnsi"/>
          <w:sz w:val="24"/>
          <w:szCs w:val="24"/>
        </w:rPr>
      </w:pPr>
      <w:r w:rsidRPr="00D24EE6">
        <w:rPr>
          <w:rFonts w:cstheme="minorHAnsi"/>
          <w:sz w:val="24"/>
          <w:szCs w:val="24"/>
        </w:rPr>
        <w:t xml:space="preserve">Nota: si bien el gluten está incorporado en el Reglamento, como uno de los productos que se deben indicar en los contenidos del etiquetado, la idea es relevarlo en la ley. </w:t>
      </w:r>
    </w:p>
    <w:p w:rsidR="00D24EE6" w:rsidRPr="00D24EE6" w:rsidRDefault="00D24EE6" w:rsidP="00D24EE6">
      <w:pPr>
        <w:spacing w:line="276" w:lineRule="auto"/>
        <w:jc w:val="both"/>
        <w:rPr>
          <w:rFonts w:cstheme="minorHAnsi"/>
          <w:sz w:val="24"/>
          <w:szCs w:val="24"/>
        </w:rPr>
      </w:pPr>
    </w:p>
    <w:p w:rsidR="00D24EE6" w:rsidRPr="00D24EE6" w:rsidRDefault="00BC14A6" w:rsidP="00D24EE6">
      <w:pPr>
        <w:spacing w:line="276" w:lineRule="auto"/>
        <w:rPr>
          <w:rFonts w:cstheme="minorHAnsi"/>
          <w:sz w:val="24"/>
          <w:szCs w:val="24"/>
        </w:rPr>
      </w:pPr>
      <w:r>
        <w:rPr>
          <w:rFonts w:cstheme="minorHAnsi"/>
          <w:sz w:val="24"/>
          <w:szCs w:val="24"/>
        </w:rPr>
        <w:t>2</w:t>
      </w:r>
      <w:r w:rsidR="00D24EE6" w:rsidRPr="00D24EE6">
        <w:rPr>
          <w:rFonts w:cstheme="minorHAnsi"/>
          <w:sz w:val="24"/>
          <w:szCs w:val="24"/>
        </w:rPr>
        <w:t xml:space="preserve">.- Para incorporar en el inciso primero del artículo 4° de la ley 20.606, después del </w:t>
      </w:r>
      <w:r w:rsidR="000929DF">
        <w:rPr>
          <w:rFonts w:cstheme="minorHAnsi"/>
          <w:sz w:val="24"/>
          <w:szCs w:val="24"/>
        </w:rPr>
        <w:t xml:space="preserve">   </w:t>
      </w:r>
      <w:r w:rsidR="00D24EE6" w:rsidRPr="00D24EE6">
        <w:rPr>
          <w:rFonts w:cstheme="minorHAnsi"/>
          <w:sz w:val="24"/>
          <w:szCs w:val="24"/>
        </w:rPr>
        <w:t>punto a parte que pasa a ser seguido, el siguiente texto:</w:t>
      </w:r>
    </w:p>
    <w:p w:rsidR="00D24EE6" w:rsidRPr="00D24EE6" w:rsidRDefault="00D24EE6" w:rsidP="00D24EE6">
      <w:pPr>
        <w:pStyle w:val="Prrafodelista"/>
        <w:spacing w:line="276" w:lineRule="auto"/>
        <w:rPr>
          <w:rFonts w:cstheme="minorHAnsi"/>
          <w:b/>
          <w:bCs/>
          <w:sz w:val="24"/>
          <w:szCs w:val="24"/>
        </w:rPr>
      </w:pPr>
      <w:r w:rsidRPr="00D24EE6">
        <w:rPr>
          <w:rFonts w:cstheme="minorHAnsi"/>
          <w:b/>
          <w:bCs/>
          <w:i/>
          <w:iCs/>
          <w:sz w:val="24"/>
          <w:szCs w:val="24"/>
        </w:rPr>
        <w:t>“Asimismo, deberán advertir sobre las diversas patologías relacionadas con intolerancias alimentarias, como la enfermedad celíaca producida por el consumo de gluten, entre otras.”</w:t>
      </w:r>
    </w:p>
    <w:p w:rsidR="000929DF" w:rsidRDefault="000929DF">
      <w:pPr>
        <w:rPr>
          <w:rFonts w:cstheme="minorHAnsi"/>
          <w:sz w:val="24"/>
          <w:szCs w:val="24"/>
        </w:rPr>
      </w:pPr>
      <w:r>
        <w:rPr>
          <w:rFonts w:cstheme="minorHAnsi"/>
          <w:sz w:val="24"/>
          <w:szCs w:val="24"/>
        </w:rPr>
        <w:br w:type="page"/>
      </w:r>
    </w:p>
    <w:p w:rsidR="000929DF" w:rsidRDefault="000929DF" w:rsidP="00D24EE6">
      <w:pPr>
        <w:spacing w:line="276" w:lineRule="auto"/>
        <w:rPr>
          <w:rFonts w:cstheme="minorHAnsi"/>
          <w:sz w:val="24"/>
          <w:szCs w:val="24"/>
        </w:rPr>
      </w:pPr>
    </w:p>
    <w:p w:rsidR="00D24EE6" w:rsidRPr="00D24EE6" w:rsidRDefault="00AD6E52" w:rsidP="00D24EE6">
      <w:pPr>
        <w:spacing w:line="276" w:lineRule="auto"/>
        <w:rPr>
          <w:rFonts w:cstheme="minorHAnsi"/>
          <w:sz w:val="24"/>
          <w:szCs w:val="24"/>
        </w:rPr>
      </w:pPr>
      <w:r>
        <w:rPr>
          <w:rFonts w:cstheme="minorHAnsi"/>
          <w:sz w:val="24"/>
          <w:szCs w:val="24"/>
        </w:rPr>
        <w:t>3</w:t>
      </w:r>
      <w:r w:rsidR="00D24EE6" w:rsidRPr="00D24EE6">
        <w:rPr>
          <w:rFonts w:cstheme="minorHAnsi"/>
          <w:sz w:val="24"/>
          <w:szCs w:val="24"/>
        </w:rPr>
        <w:t>.- Para incorporar en el inciso primero del artículo 5° de la ley 20.606, luego de la</w:t>
      </w:r>
      <w:r w:rsidR="000929DF">
        <w:rPr>
          <w:rFonts w:cstheme="minorHAnsi"/>
          <w:sz w:val="24"/>
          <w:szCs w:val="24"/>
        </w:rPr>
        <w:t xml:space="preserve">  </w:t>
      </w:r>
      <w:r w:rsidR="00D24EE6" w:rsidRPr="00D24EE6">
        <w:rPr>
          <w:rFonts w:cstheme="minorHAnsi"/>
          <w:sz w:val="24"/>
          <w:szCs w:val="24"/>
        </w:rPr>
        <w:t xml:space="preserve"> palabra “sal”, la siguiente palabra:</w:t>
      </w:r>
    </w:p>
    <w:p w:rsidR="00D24EE6" w:rsidRPr="00D24EE6" w:rsidRDefault="00D24EE6" w:rsidP="00D24EE6">
      <w:pPr>
        <w:spacing w:line="276" w:lineRule="auto"/>
        <w:rPr>
          <w:rFonts w:cstheme="minorHAnsi"/>
          <w:b/>
          <w:bCs/>
          <w:i/>
          <w:iCs/>
          <w:sz w:val="24"/>
          <w:szCs w:val="24"/>
        </w:rPr>
      </w:pPr>
      <w:r w:rsidRPr="00D24EE6">
        <w:rPr>
          <w:rFonts w:cstheme="minorHAnsi"/>
          <w:b/>
          <w:bCs/>
          <w:i/>
          <w:iCs/>
          <w:sz w:val="24"/>
          <w:szCs w:val="24"/>
        </w:rPr>
        <w:tab/>
        <w:t>“gluten”</w:t>
      </w:r>
    </w:p>
    <w:p w:rsidR="00D24EE6" w:rsidRPr="00D24EE6" w:rsidRDefault="00AD6E52" w:rsidP="00D24EE6">
      <w:pPr>
        <w:spacing w:line="276" w:lineRule="auto"/>
        <w:jc w:val="both"/>
        <w:rPr>
          <w:rFonts w:cstheme="minorHAnsi"/>
          <w:sz w:val="24"/>
          <w:szCs w:val="24"/>
        </w:rPr>
      </w:pPr>
      <w:r>
        <w:rPr>
          <w:rFonts w:cstheme="minorHAnsi"/>
          <w:sz w:val="24"/>
          <w:szCs w:val="24"/>
        </w:rPr>
        <w:t>4</w:t>
      </w:r>
      <w:r w:rsidR="00D24EE6" w:rsidRPr="00D24EE6">
        <w:rPr>
          <w:rFonts w:cstheme="minorHAnsi"/>
          <w:sz w:val="24"/>
          <w:szCs w:val="24"/>
        </w:rPr>
        <w:t>.- Para incorporar un nuevo párrafo en el inciso 1 del artículo 5° de la ley 20.606,</w:t>
      </w:r>
      <w:r w:rsidR="000929DF">
        <w:rPr>
          <w:rFonts w:cstheme="minorHAnsi"/>
          <w:sz w:val="24"/>
          <w:szCs w:val="24"/>
        </w:rPr>
        <w:t xml:space="preserve"> </w:t>
      </w:r>
      <w:r w:rsidR="00D24EE6" w:rsidRPr="00D24EE6">
        <w:rPr>
          <w:rFonts w:cstheme="minorHAnsi"/>
          <w:sz w:val="24"/>
          <w:szCs w:val="24"/>
        </w:rPr>
        <w:t xml:space="preserve"> pasando el punto aparte a ser punto seguido, del siguiente tenor:</w:t>
      </w:r>
    </w:p>
    <w:p w:rsidR="00D24EE6" w:rsidRPr="00D24EE6" w:rsidRDefault="00D24EE6" w:rsidP="00D24EE6">
      <w:pPr>
        <w:pStyle w:val="Prrafodelista"/>
        <w:spacing w:line="276" w:lineRule="auto"/>
        <w:jc w:val="both"/>
        <w:rPr>
          <w:rFonts w:cstheme="minorHAnsi"/>
          <w:b/>
          <w:bCs/>
          <w:i/>
          <w:iCs/>
          <w:sz w:val="24"/>
          <w:szCs w:val="24"/>
        </w:rPr>
      </w:pPr>
      <w:r w:rsidRPr="00D24EE6">
        <w:rPr>
          <w:rFonts w:cstheme="minorHAnsi"/>
          <w:b/>
          <w:bCs/>
          <w:i/>
          <w:iCs/>
          <w:sz w:val="24"/>
          <w:szCs w:val="24"/>
        </w:rPr>
        <w:t>“Aquellos alimentos que según el Reglamento estén exentos de contenidos que provoquen intolerancias alimentarias, como el gluten, deberán rotularse como “libre de gluten”.”</w:t>
      </w:r>
    </w:p>
    <w:p w:rsidR="00D24EE6" w:rsidRPr="00D24EE6" w:rsidRDefault="00AD6E52" w:rsidP="00D24EE6">
      <w:pPr>
        <w:spacing w:line="276" w:lineRule="auto"/>
        <w:rPr>
          <w:rFonts w:cstheme="minorHAnsi"/>
          <w:sz w:val="24"/>
          <w:szCs w:val="24"/>
        </w:rPr>
      </w:pPr>
      <w:r>
        <w:rPr>
          <w:rFonts w:cstheme="minorHAnsi"/>
          <w:sz w:val="24"/>
          <w:szCs w:val="24"/>
        </w:rPr>
        <w:t>5</w:t>
      </w:r>
      <w:r w:rsidR="00D24EE6" w:rsidRPr="00D24EE6">
        <w:rPr>
          <w:rFonts w:cstheme="minorHAnsi"/>
          <w:sz w:val="24"/>
          <w:szCs w:val="24"/>
        </w:rPr>
        <w:t>.- Para incorporar al final del inciso 6 del artículo 6° de la ley 20.606, lo siguiente:</w:t>
      </w:r>
    </w:p>
    <w:p w:rsidR="00D24EE6" w:rsidRDefault="00D24EE6" w:rsidP="00D24EE6">
      <w:pPr>
        <w:spacing w:line="276" w:lineRule="auto"/>
        <w:rPr>
          <w:rFonts w:cstheme="minorHAnsi"/>
          <w:b/>
          <w:bCs/>
          <w:i/>
          <w:iCs/>
          <w:sz w:val="24"/>
          <w:szCs w:val="24"/>
        </w:rPr>
      </w:pPr>
      <w:r w:rsidRPr="00D24EE6">
        <w:rPr>
          <w:rFonts w:cstheme="minorHAnsi"/>
          <w:b/>
          <w:bCs/>
          <w:i/>
          <w:iCs/>
          <w:sz w:val="24"/>
          <w:szCs w:val="24"/>
        </w:rPr>
        <w:tab/>
        <w:t>“y exentos de riesgos por intolerancias alimentarias.”</w:t>
      </w:r>
    </w:p>
    <w:p w:rsidR="00AD6E52" w:rsidRDefault="00AD6E52" w:rsidP="00D24EE6">
      <w:pPr>
        <w:spacing w:line="276" w:lineRule="auto"/>
        <w:rPr>
          <w:rFonts w:cstheme="minorHAnsi"/>
          <w:sz w:val="24"/>
          <w:szCs w:val="24"/>
        </w:rPr>
      </w:pPr>
    </w:p>
    <w:p w:rsidR="00AD6E52" w:rsidRPr="00AD6E52" w:rsidRDefault="00AD6E52" w:rsidP="00AD6E52">
      <w:pPr>
        <w:spacing w:line="276" w:lineRule="auto"/>
        <w:rPr>
          <w:rFonts w:cstheme="minorHAnsi"/>
          <w:sz w:val="24"/>
          <w:szCs w:val="24"/>
        </w:rPr>
      </w:pPr>
      <w:r w:rsidRPr="00AD6E52">
        <w:rPr>
          <w:rFonts w:cstheme="minorHAnsi"/>
          <w:sz w:val="24"/>
          <w:szCs w:val="24"/>
        </w:rPr>
        <w:t>6.- Para incorporar un nuevo artículo 9 bis del siguiente tenor:</w:t>
      </w:r>
    </w:p>
    <w:p w:rsidR="00AD6E52" w:rsidRPr="00AD6E52" w:rsidRDefault="00AD6E52" w:rsidP="00AD6E52">
      <w:pPr>
        <w:spacing w:line="276" w:lineRule="auto"/>
        <w:rPr>
          <w:rFonts w:cstheme="minorHAnsi"/>
          <w:b/>
          <w:bCs/>
          <w:sz w:val="24"/>
          <w:szCs w:val="24"/>
        </w:rPr>
      </w:pPr>
      <w:r w:rsidRPr="00AD6E52">
        <w:rPr>
          <w:rFonts w:cstheme="minorHAnsi"/>
          <w:sz w:val="24"/>
          <w:szCs w:val="24"/>
        </w:rPr>
        <w:tab/>
      </w:r>
      <w:r w:rsidRPr="00AD6E52">
        <w:rPr>
          <w:rFonts w:cstheme="minorHAnsi"/>
          <w:b/>
          <w:bCs/>
          <w:sz w:val="24"/>
          <w:szCs w:val="24"/>
        </w:rPr>
        <w:t xml:space="preserve">“Los supermercados y establecimientos similares deberán disponer de </w:t>
      </w:r>
      <w:r w:rsidR="000929DF">
        <w:rPr>
          <w:rFonts w:cstheme="minorHAnsi"/>
          <w:b/>
          <w:bCs/>
          <w:sz w:val="24"/>
          <w:szCs w:val="24"/>
        </w:rPr>
        <w:t xml:space="preserve">    </w:t>
      </w:r>
      <w:r w:rsidRPr="00AD6E52">
        <w:rPr>
          <w:rFonts w:cstheme="minorHAnsi"/>
          <w:b/>
          <w:bCs/>
          <w:sz w:val="24"/>
          <w:szCs w:val="24"/>
        </w:rPr>
        <w:t xml:space="preserve">góndolas </w:t>
      </w:r>
      <w:r>
        <w:rPr>
          <w:rFonts w:cstheme="minorHAnsi"/>
          <w:b/>
          <w:bCs/>
          <w:sz w:val="24"/>
          <w:szCs w:val="24"/>
        </w:rPr>
        <w:tab/>
      </w:r>
      <w:r w:rsidRPr="00AD6E52">
        <w:rPr>
          <w:rFonts w:cstheme="minorHAnsi"/>
          <w:b/>
          <w:bCs/>
          <w:sz w:val="24"/>
          <w:szCs w:val="24"/>
        </w:rPr>
        <w:t xml:space="preserve">exclusivas para la oferta de productos aptos para personas con intolerancias </w:t>
      </w:r>
      <w:r>
        <w:rPr>
          <w:rFonts w:cstheme="minorHAnsi"/>
          <w:b/>
          <w:bCs/>
          <w:sz w:val="24"/>
          <w:szCs w:val="24"/>
        </w:rPr>
        <w:tab/>
      </w:r>
      <w:r w:rsidRPr="00AD6E52">
        <w:rPr>
          <w:rFonts w:cstheme="minorHAnsi"/>
          <w:b/>
          <w:bCs/>
          <w:sz w:val="24"/>
          <w:szCs w:val="24"/>
        </w:rPr>
        <w:t xml:space="preserve">alimentarias, como </w:t>
      </w:r>
      <w:r w:rsidRPr="00AD6E52">
        <w:rPr>
          <w:rFonts w:cstheme="minorHAnsi"/>
          <w:b/>
          <w:bCs/>
          <w:sz w:val="24"/>
          <w:szCs w:val="24"/>
        </w:rPr>
        <w:tab/>
        <w:t xml:space="preserve">aquellos “sin gluten” para los enfermos celíacos, debiendo </w:t>
      </w:r>
      <w:r>
        <w:rPr>
          <w:rFonts w:cstheme="minorHAnsi"/>
          <w:b/>
          <w:bCs/>
          <w:sz w:val="24"/>
          <w:szCs w:val="24"/>
        </w:rPr>
        <w:tab/>
      </w:r>
      <w:r w:rsidRPr="00AD6E52">
        <w:rPr>
          <w:rFonts w:cstheme="minorHAnsi"/>
          <w:b/>
          <w:bCs/>
          <w:sz w:val="24"/>
          <w:szCs w:val="24"/>
        </w:rPr>
        <w:t>resguardar la posibilidad de contaminación cruzada.”</w:t>
      </w:r>
    </w:p>
    <w:p w:rsidR="00D24EE6" w:rsidRPr="00D24EE6" w:rsidRDefault="00AD6E52" w:rsidP="00D24EE6">
      <w:pPr>
        <w:spacing w:line="276" w:lineRule="auto"/>
        <w:jc w:val="both"/>
        <w:rPr>
          <w:rFonts w:cstheme="minorHAnsi"/>
          <w:sz w:val="24"/>
          <w:szCs w:val="24"/>
        </w:rPr>
      </w:pPr>
      <w:r>
        <w:rPr>
          <w:rFonts w:cstheme="minorHAnsi"/>
          <w:sz w:val="24"/>
          <w:szCs w:val="24"/>
        </w:rPr>
        <w:t>7</w:t>
      </w:r>
      <w:r w:rsidR="00D24EE6" w:rsidRPr="00D24EE6">
        <w:rPr>
          <w:rFonts w:cstheme="minorHAnsi"/>
          <w:sz w:val="24"/>
          <w:szCs w:val="24"/>
        </w:rPr>
        <w:t>.- Para crear un nuevo artículo N° 10 en la ley 20.606, pasando a ser el actual número 10 a número 11, y el 11 a número 12.</w:t>
      </w:r>
    </w:p>
    <w:p w:rsidR="00D24EE6" w:rsidRPr="00D24EE6" w:rsidRDefault="00D24EE6" w:rsidP="00D24EE6">
      <w:pPr>
        <w:pStyle w:val="Prrafodelista"/>
        <w:spacing w:line="276" w:lineRule="auto"/>
        <w:jc w:val="both"/>
        <w:rPr>
          <w:rFonts w:cstheme="minorHAnsi"/>
          <w:b/>
          <w:bCs/>
          <w:i/>
          <w:iCs/>
          <w:sz w:val="24"/>
          <w:szCs w:val="24"/>
        </w:rPr>
      </w:pPr>
      <w:r w:rsidRPr="00D24EE6">
        <w:rPr>
          <w:rFonts w:cstheme="minorHAnsi"/>
          <w:b/>
          <w:bCs/>
          <w:i/>
          <w:iCs/>
          <w:sz w:val="24"/>
          <w:szCs w:val="24"/>
        </w:rPr>
        <w:t xml:space="preserve">“Las obligaciones establecidas en esta ley serán extensivas a los </w:t>
      </w:r>
      <w:r w:rsidR="000929DF">
        <w:rPr>
          <w:rFonts w:cstheme="minorHAnsi"/>
          <w:b/>
          <w:bCs/>
          <w:i/>
          <w:iCs/>
          <w:sz w:val="24"/>
          <w:szCs w:val="24"/>
        </w:rPr>
        <w:t xml:space="preserve"> </w:t>
      </w:r>
      <w:r w:rsidRPr="00D24EE6">
        <w:rPr>
          <w:rFonts w:cstheme="minorHAnsi"/>
          <w:b/>
          <w:bCs/>
          <w:i/>
          <w:iCs/>
          <w:sz w:val="24"/>
          <w:szCs w:val="24"/>
        </w:rPr>
        <w:t>establecimientos que expendan alimentos preparados, incluidas las bebidas, a lo menos respecto los contenidos de energía, azúcares, sodio, grasas saturadas, gluten y los demás que el Ministerio de Salud determine.</w:t>
      </w:r>
    </w:p>
    <w:p w:rsidR="00D24EE6" w:rsidRPr="00D24EE6" w:rsidRDefault="00D24EE6" w:rsidP="00D24EE6">
      <w:pPr>
        <w:pStyle w:val="Prrafodelista"/>
        <w:spacing w:line="276" w:lineRule="auto"/>
        <w:jc w:val="both"/>
        <w:rPr>
          <w:rFonts w:cstheme="minorHAnsi"/>
          <w:b/>
          <w:bCs/>
          <w:i/>
          <w:iCs/>
          <w:sz w:val="24"/>
          <w:szCs w:val="24"/>
        </w:rPr>
      </w:pPr>
      <w:r w:rsidRPr="00D24EE6">
        <w:rPr>
          <w:rFonts w:cstheme="minorHAnsi"/>
          <w:b/>
          <w:bCs/>
          <w:i/>
          <w:iCs/>
          <w:sz w:val="24"/>
          <w:szCs w:val="24"/>
        </w:rPr>
        <w:t>Los establecimientos que expendan alimentos preparados deberán informar a través de sus cartas, vitrinas o similares, respecto de los contenidos en sus preparaciones, a lo menos la cantidad de energía, azúcares, sodio, grasas saturadas, gluten y los demás que el Ministerio de Salud determine, debiendo contar siempre con oferta para personas con intolerancias alimentarias, como los enfermos celíacos.</w:t>
      </w:r>
    </w:p>
    <w:p w:rsidR="00D24EE6" w:rsidRPr="00D24EE6" w:rsidRDefault="00D24EE6" w:rsidP="00D24EE6">
      <w:pPr>
        <w:spacing w:line="276" w:lineRule="auto"/>
        <w:jc w:val="both"/>
        <w:rPr>
          <w:rFonts w:cstheme="minorHAnsi"/>
          <w:b/>
          <w:bCs/>
          <w:sz w:val="24"/>
          <w:szCs w:val="24"/>
        </w:rPr>
      </w:pPr>
    </w:p>
    <w:p w:rsidR="00D24EE6" w:rsidRPr="00650157" w:rsidRDefault="00650157" w:rsidP="00D24EE6">
      <w:pPr>
        <w:spacing w:line="276" w:lineRule="auto"/>
        <w:jc w:val="both"/>
        <w:rPr>
          <w:rFonts w:cstheme="minorHAnsi"/>
          <w:b/>
          <w:bCs/>
          <w:sz w:val="24"/>
          <w:szCs w:val="24"/>
        </w:rPr>
      </w:pPr>
      <w:r>
        <w:rPr>
          <w:rFonts w:cstheme="minorHAnsi"/>
          <w:b/>
          <w:bCs/>
          <w:sz w:val="24"/>
          <w:szCs w:val="24"/>
        </w:rPr>
        <w:t xml:space="preserve">II.- </w:t>
      </w:r>
      <w:r w:rsidR="00D24EE6" w:rsidRPr="00650157">
        <w:rPr>
          <w:rFonts w:cstheme="minorHAnsi"/>
          <w:b/>
          <w:bCs/>
          <w:sz w:val="24"/>
          <w:szCs w:val="24"/>
        </w:rPr>
        <w:t>Modifica ley 19.886 ley de Bases Sobre Contratos Administrativos de Suministro y Prestación de Servicios</w:t>
      </w:r>
    </w:p>
    <w:p w:rsidR="00D24EE6" w:rsidRDefault="00D24EE6" w:rsidP="00D24EE6">
      <w:pPr>
        <w:spacing w:line="276" w:lineRule="auto"/>
        <w:jc w:val="both"/>
        <w:rPr>
          <w:rFonts w:cstheme="minorHAnsi"/>
          <w:sz w:val="24"/>
          <w:szCs w:val="24"/>
        </w:rPr>
      </w:pPr>
      <w:bookmarkStart w:id="9" w:name="_Hlk16458811"/>
      <w:r w:rsidRPr="00D24EE6">
        <w:rPr>
          <w:rFonts w:cstheme="minorHAnsi"/>
          <w:sz w:val="24"/>
          <w:szCs w:val="24"/>
        </w:rPr>
        <w:t xml:space="preserve">1.- Incorpórase un nuevo inciso </w:t>
      </w:r>
      <w:bookmarkEnd w:id="9"/>
      <w:r w:rsidRPr="00D24EE6">
        <w:rPr>
          <w:rFonts w:cstheme="minorHAnsi"/>
          <w:sz w:val="24"/>
          <w:szCs w:val="24"/>
        </w:rPr>
        <w:t xml:space="preserve">5 al artículo 6° de la Ley N° 19.886, pasando el actual 6 a ser el 7 y así sucesivamente: </w:t>
      </w:r>
    </w:p>
    <w:p w:rsidR="000929DF" w:rsidRDefault="000929DF">
      <w:pPr>
        <w:rPr>
          <w:rFonts w:cstheme="minorHAnsi"/>
          <w:sz w:val="24"/>
          <w:szCs w:val="24"/>
        </w:rPr>
      </w:pPr>
      <w:r>
        <w:rPr>
          <w:rFonts w:cstheme="minorHAnsi"/>
          <w:sz w:val="24"/>
          <w:szCs w:val="24"/>
        </w:rPr>
        <w:br w:type="page"/>
      </w:r>
    </w:p>
    <w:p w:rsidR="000929DF" w:rsidRPr="00D24EE6" w:rsidRDefault="000929DF" w:rsidP="00D24EE6">
      <w:pPr>
        <w:spacing w:line="276" w:lineRule="auto"/>
        <w:jc w:val="both"/>
        <w:rPr>
          <w:rFonts w:cstheme="minorHAnsi"/>
          <w:sz w:val="24"/>
          <w:szCs w:val="24"/>
        </w:rPr>
      </w:pPr>
    </w:p>
    <w:p w:rsidR="00D24EE6" w:rsidRPr="00D24EE6" w:rsidRDefault="00D24EE6" w:rsidP="00D24EE6">
      <w:pPr>
        <w:pStyle w:val="Prrafodelista"/>
        <w:spacing w:line="276" w:lineRule="auto"/>
        <w:jc w:val="both"/>
        <w:rPr>
          <w:rFonts w:cstheme="minorHAnsi"/>
          <w:b/>
          <w:bCs/>
          <w:i/>
          <w:iCs/>
          <w:sz w:val="24"/>
          <w:szCs w:val="24"/>
        </w:rPr>
      </w:pPr>
      <w:r w:rsidRPr="00D24EE6">
        <w:rPr>
          <w:rFonts w:cstheme="minorHAnsi"/>
          <w:b/>
          <w:bCs/>
          <w:i/>
          <w:iCs/>
          <w:sz w:val="24"/>
          <w:szCs w:val="24"/>
        </w:rPr>
        <w:t>"En las licitaciones que tengan por objeto proveer de servicios de alimentación a establecimientos de educación parvularia, básica y media, administrados por la Junta Nacional de Auxilio Escolar y Becas, las bases de licitación deberán considerar las necesidades y restricciones que presentan los estudiantes que padecen enfermedades por intolerancias alimenticias, como la enfermedad celíaca.”</w:t>
      </w:r>
    </w:p>
    <w:p w:rsidR="00D24EE6" w:rsidRPr="00D24EE6" w:rsidRDefault="00D24EE6" w:rsidP="00D24EE6">
      <w:pPr>
        <w:spacing w:after="0" w:line="276" w:lineRule="auto"/>
        <w:rPr>
          <w:rFonts w:eastAsia="Times New Roman" w:cstheme="minorHAnsi"/>
          <w:sz w:val="24"/>
          <w:szCs w:val="24"/>
          <w:lang w:val="es-ES" w:eastAsia="es-ES"/>
        </w:rPr>
      </w:pPr>
    </w:p>
    <w:p w:rsidR="00FC6A78" w:rsidRDefault="00FC6A78" w:rsidP="00D24EE6">
      <w:pPr>
        <w:spacing w:after="0" w:line="276" w:lineRule="auto"/>
        <w:jc w:val="center"/>
        <w:rPr>
          <w:rFonts w:eastAsia="Times New Roman" w:cstheme="minorHAnsi"/>
          <w:sz w:val="24"/>
          <w:szCs w:val="24"/>
          <w:lang w:val="es-ES" w:eastAsia="es-ES"/>
        </w:rPr>
      </w:pPr>
    </w:p>
    <w:p w:rsidR="00E73A33" w:rsidRDefault="00E73A33" w:rsidP="00D24EE6">
      <w:pPr>
        <w:spacing w:after="0" w:line="276" w:lineRule="auto"/>
        <w:jc w:val="center"/>
        <w:rPr>
          <w:rFonts w:eastAsia="Times New Roman" w:cstheme="minorHAnsi"/>
          <w:sz w:val="24"/>
          <w:szCs w:val="24"/>
          <w:lang w:val="es-ES" w:eastAsia="es-ES"/>
        </w:rPr>
      </w:pPr>
    </w:p>
    <w:p w:rsidR="00E73A33" w:rsidRPr="00D24EE6" w:rsidRDefault="00E73A33" w:rsidP="00D24EE6">
      <w:pPr>
        <w:spacing w:after="0" w:line="276" w:lineRule="auto"/>
        <w:jc w:val="center"/>
        <w:rPr>
          <w:rFonts w:eastAsia="Times New Roman" w:cstheme="minorHAnsi"/>
          <w:sz w:val="24"/>
          <w:szCs w:val="24"/>
          <w:lang w:val="es-ES" w:eastAsia="es-ES"/>
        </w:rPr>
      </w:pPr>
    </w:p>
    <w:p w:rsidR="00FC6A78" w:rsidRPr="00D24EE6" w:rsidRDefault="00FC6A78" w:rsidP="00D24EE6">
      <w:pPr>
        <w:spacing w:after="0" w:line="276" w:lineRule="auto"/>
        <w:jc w:val="center"/>
        <w:rPr>
          <w:rFonts w:eastAsia="Times New Roman" w:cstheme="minorHAnsi"/>
          <w:sz w:val="24"/>
          <w:szCs w:val="24"/>
          <w:lang w:val="es-ES" w:eastAsia="es-ES"/>
        </w:rPr>
      </w:pPr>
    </w:p>
    <w:p w:rsidR="00BA3AB5" w:rsidRPr="00D24EE6" w:rsidRDefault="00BA3AB5" w:rsidP="00D24EE6">
      <w:pPr>
        <w:spacing w:after="0" w:line="276" w:lineRule="auto"/>
        <w:jc w:val="center"/>
        <w:rPr>
          <w:rFonts w:eastAsia="Times New Roman" w:cstheme="minorHAnsi"/>
          <w:sz w:val="24"/>
          <w:szCs w:val="24"/>
          <w:lang w:val="es-ES" w:eastAsia="es-ES"/>
        </w:rPr>
      </w:pPr>
    </w:p>
    <w:p w:rsidR="00DF7046" w:rsidRPr="00D24EE6" w:rsidRDefault="00DF7046" w:rsidP="00D24EE6">
      <w:pPr>
        <w:spacing w:after="0" w:line="276" w:lineRule="auto"/>
        <w:jc w:val="center"/>
        <w:rPr>
          <w:rFonts w:eastAsia="Times New Roman" w:cstheme="minorHAnsi"/>
          <w:b/>
          <w:sz w:val="24"/>
          <w:szCs w:val="24"/>
          <w:lang w:val="es-ES" w:eastAsia="es-ES"/>
        </w:rPr>
      </w:pPr>
      <w:r w:rsidRPr="00D24EE6">
        <w:rPr>
          <w:rFonts w:eastAsia="Times New Roman" w:cstheme="minorHAnsi"/>
          <w:b/>
          <w:sz w:val="24"/>
          <w:szCs w:val="24"/>
          <w:lang w:val="es-ES" w:eastAsia="es-ES"/>
        </w:rPr>
        <w:t>RICARDO CELIS</w:t>
      </w:r>
      <w:r w:rsidR="00F93E7A" w:rsidRPr="00D24EE6">
        <w:rPr>
          <w:rFonts w:eastAsia="Times New Roman" w:cstheme="minorHAnsi"/>
          <w:b/>
          <w:sz w:val="24"/>
          <w:szCs w:val="24"/>
          <w:lang w:val="es-ES" w:eastAsia="es-ES"/>
        </w:rPr>
        <w:t xml:space="preserve"> ARAYA</w:t>
      </w:r>
    </w:p>
    <w:p w:rsidR="00DF7046" w:rsidRPr="00D24EE6" w:rsidRDefault="00DF7046" w:rsidP="00D24EE6">
      <w:pPr>
        <w:spacing w:after="0" w:line="276" w:lineRule="auto"/>
        <w:jc w:val="center"/>
        <w:rPr>
          <w:rFonts w:eastAsia="Times New Roman" w:cstheme="minorHAnsi"/>
          <w:b/>
          <w:sz w:val="24"/>
          <w:szCs w:val="24"/>
          <w:lang w:val="es-ES" w:eastAsia="es-ES"/>
        </w:rPr>
      </w:pPr>
    </w:p>
    <w:p w:rsidR="00B14075" w:rsidRPr="00D24EE6" w:rsidRDefault="00DD0B1B" w:rsidP="00D24EE6">
      <w:pPr>
        <w:spacing w:after="0" w:line="276" w:lineRule="auto"/>
        <w:jc w:val="center"/>
        <w:rPr>
          <w:rFonts w:cstheme="minorHAnsi"/>
          <w:sz w:val="24"/>
          <w:szCs w:val="24"/>
        </w:rPr>
      </w:pPr>
      <w:r>
        <w:rPr>
          <w:rFonts w:eastAsia="Times New Roman" w:cstheme="minorHAnsi"/>
          <w:sz w:val="24"/>
          <w:szCs w:val="24"/>
          <w:lang w:val="es-ES" w:eastAsia="es-ES"/>
        </w:rPr>
        <w:t xml:space="preserve">H. </w:t>
      </w:r>
      <w:r w:rsidR="00DF7046" w:rsidRPr="00D24EE6">
        <w:rPr>
          <w:rFonts w:eastAsia="Times New Roman" w:cstheme="minorHAnsi"/>
          <w:sz w:val="24"/>
          <w:szCs w:val="24"/>
          <w:lang w:val="es-ES" w:eastAsia="es-ES"/>
        </w:rPr>
        <w:t>Diputado de la República.</w:t>
      </w:r>
    </w:p>
    <w:sectPr w:rsidR="00B14075" w:rsidRPr="00D24EE6" w:rsidSect="008A1167">
      <w:headerReference w:type="default" r:id="rId8"/>
      <w:footerReference w:type="default" r:id="rId9"/>
      <w:pgSz w:w="12240" w:h="20160"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F6" w:rsidRDefault="00E751F6" w:rsidP="009D7BA3">
      <w:pPr>
        <w:spacing w:after="0" w:line="240" w:lineRule="auto"/>
      </w:pPr>
      <w:r>
        <w:separator/>
      </w:r>
    </w:p>
  </w:endnote>
  <w:endnote w:type="continuationSeparator" w:id="0">
    <w:p w:rsidR="00E751F6" w:rsidRDefault="00E751F6" w:rsidP="009D7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465736"/>
      <w:docPartObj>
        <w:docPartGallery w:val="Page Numbers (Bottom of Page)"/>
        <w:docPartUnique/>
      </w:docPartObj>
    </w:sdtPr>
    <w:sdtContent>
      <w:p w:rsidR="00DD0B1B" w:rsidRDefault="001229E0">
        <w:pPr>
          <w:pStyle w:val="Piedepgina"/>
          <w:jc w:val="right"/>
        </w:pPr>
        <w:r>
          <w:fldChar w:fldCharType="begin"/>
        </w:r>
        <w:r w:rsidR="00DD0B1B">
          <w:instrText>PAGE   \* MERGEFORMAT</w:instrText>
        </w:r>
        <w:r>
          <w:fldChar w:fldCharType="separate"/>
        </w:r>
        <w:r w:rsidR="000929DF" w:rsidRPr="000929DF">
          <w:rPr>
            <w:noProof/>
            <w:lang w:val="es-ES"/>
          </w:rPr>
          <w:t>1</w:t>
        </w:r>
        <w:r>
          <w:fldChar w:fldCharType="end"/>
        </w:r>
      </w:p>
    </w:sdtContent>
  </w:sdt>
  <w:p w:rsidR="00C848CE" w:rsidRDefault="00C848C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F6" w:rsidRDefault="00E751F6" w:rsidP="009D7BA3">
      <w:pPr>
        <w:spacing w:after="0" w:line="240" w:lineRule="auto"/>
      </w:pPr>
      <w:r>
        <w:separator/>
      </w:r>
    </w:p>
  </w:footnote>
  <w:footnote w:type="continuationSeparator" w:id="0">
    <w:p w:rsidR="00E751F6" w:rsidRDefault="00E751F6" w:rsidP="009D7BA3">
      <w:pPr>
        <w:spacing w:after="0" w:line="240" w:lineRule="auto"/>
      </w:pPr>
      <w:r>
        <w:continuationSeparator/>
      </w:r>
    </w:p>
  </w:footnote>
  <w:footnote w:id="1">
    <w:p w:rsidR="00C848CE" w:rsidRDefault="00C848CE">
      <w:pPr>
        <w:pStyle w:val="Textonotapie"/>
      </w:pPr>
      <w:bookmarkStart w:id="1" w:name="_Hlk16260190"/>
      <w:r>
        <w:rPr>
          <w:rStyle w:val="Refdenotaalpie"/>
        </w:rPr>
        <w:footnoteRef/>
      </w:r>
      <w:r>
        <w:t xml:space="preserve"> Minsal - </w:t>
      </w:r>
      <w:r w:rsidRPr="0076219E">
        <w:t>Guías de Práctica Clínica no GES</w:t>
      </w:r>
      <w:r>
        <w:t xml:space="preserve"> 2015 -  </w:t>
      </w:r>
      <w:r w:rsidRPr="00036587">
        <w:t xml:space="preserve">Búsqueda, Diagnóstico y Tratamiento de la Enfermedad Celíaca </w:t>
      </w:r>
      <w:r>
        <w:t xml:space="preserve">- </w:t>
      </w:r>
      <w:hyperlink r:id="rId1" w:history="1">
        <w:r w:rsidRPr="00024040">
          <w:rPr>
            <w:rStyle w:val="Hipervnculo"/>
          </w:rPr>
          <w:t>https://diprece.minsal.cl/wrdprss_minsal/wp-content/uploads/2016/08/Gu%C3%ADa-EC-Final.pdf</w:t>
        </w:r>
      </w:hyperlink>
      <w:bookmarkEnd w:id="1"/>
    </w:p>
  </w:footnote>
  <w:footnote w:id="2">
    <w:p w:rsidR="00C848CE" w:rsidRDefault="00C848CE" w:rsidP="009A3DA9">
      <w:pPr>
        <w:pStyle w:val="Textonotapie"/>
        <w:jc w:val="both"/>
      </w:pPr>
      <w:r>
        <w:rPr>
          <w:rStyle w:val="Refdenotaalpie"/>
        </w:rPr>
        <w:footnoteRef/>
      </w:r>
      <w:r>
        <w:t xml:space="preserve"> </w:t>
      </w:r>
      <w:r w:rsidRPr="006F2386">
        <w:t xml:space="preserve">  </w:t>
      </w:r>
      <w:bookmarkStart w:id="4" w:name="_Hlk16273605"/>
      <w:r w:rsidRPr="006F2386">
        <w:t>Minsal - Guías de Práctica Clínica no GES 2015</w:t>
      </w:r>
      <w:r>
        <w:t xml:space="preserve"> </w:t>
      </w:r>
      <w:r w:rsidRPr="00036587">
        <w:t>Búsqueda, Diagnóstico y Tratamiento de la Enfermedad Celíaca</w:t>
      </w:r>
      <w:r w:rsidRPr="006F2386">
        <w:t xml:space="preserve"> - </w:t>
      </w:r>
      <w:hyperlink r:id="rId2" w:history="1">
        <w:r w:rsidRPr="00024040">
          <w:rPr>
            <w:rStyle w:val="Hipervnculo"/>
          </w:rPr>
          <w:t>https://diprece.minsal.cl/wrdprss_minsal/wp-content/uploads/2016/08/Gu%C3%ADa-EC-Final.pdf</w:t>
        </w:r>
      </w:hyperlink>
      <w:bookmarkEnd w:id="4"/>
    </w:p>
  </w:footnote>
  <w:footnote w:id="3">
    <w:p w:rsidR="00C848CE" w:rsidRDefault="00C848CE" w:rsidP="00522D31">
      <w:pPr>
        <w:pStyle w:val="Textonotapie"/>
      </w:pPr>
      <w:r>
        <w:rPr>
          <w:rStyle w:val="Refdenotaalpie"/>
        </w:rPr>
        <w:footnoteRef/>
      </w:r>
      <w:r>
        <w:t xml:space="preserve"> </w:t>
      </w:r>
      <w:r w:rsidRPr="00E41D7E">
        <w:t xml:space="preserve">    Minsal - Guías de Práctica Clínica no GES 2015</w:t>
      </w:r>
      <w:r>
        <w:t xml:space="preserve"> -</w:t>
      </w:r>
      <w:r w:rsidRPr="00036587">
        <w:t xml:space="preserve"> Búsqueda, Diagnóstico y Tratamiento de la Enfermedad Celíaca</w:t>
      </w:r>
      <w:r>
        <w:t xml:space="preserve"> </w:t>
      </w:r>
      <w:r w:rsidRPr="00E41D7E">
        <w:t xml:space="preserve"> - </w:t>
      </w:r>
      <w:hyperlink r:id="rId3" w:history="1">
        <w:r w:rsidRPr="00024040">
          <w:rPr>
            <w:rStyle w:val="Hipervnculo"/>
          </w:rPr>
          <w:t>https://diprece.minsal.cl/wrdprss_minsal/wp-content/uploads/2016/08/Gu%C3%ADa-EC-Final.pdf</w:t>
        </w:r>
      </w:hyperlink>
    </w:p>
  </w:footnote>
  <w:footnote w:id="4">
    <w:p w:rsidR="00C848CE" w:rsidRDefault="00C848CE">
      <w:pPr>
        <w:pStyle w:val="Textonotapie"/>
      </w:pPr>
      <w:r>
        <w:rPr>
          <w:rStyle w:val="Refdenotaalpie"/>
        </w:rPr>
        <w:footnoteRef/>
      </w:r>
      <w:r>
        <w:t xml:space="preserve"> </w:t>
      </w:r>
      <w:hyperlink r:id="rId4" w:anchor="tratamiento" w:history="1">
        <w:r w:rsidRPr="00024040">
          <w:rPr>
            <w:rStyle w:val="Hipervnculo"/>
          </w:rPr>
          <w:t>http://www.fundacionconvivir.cl/enfermedad-celiaca/#tratamiento</w:t>
        </w:r>
      </w:hyperlink>
    </w:p>
  </w:footnote>
  <w:footnote w:id="5">
    <w:p w:rsidR="00727526" w:rsidRDefault="00727526">
      <w:pPr>
        <w:pStyle w:val="Textonotapie"/>
      </w:pPr>
      <w:r>
        <w:rPr>
          <w:rStyle w:val="Refdenotaalpie"/>
        </w:rPr>
        <w:footnoteRef/>
      </w:r>
      <w:r>
        <w:t xml:space="preserve"> Ppm: </w:t>
      </w:r>
      <w:r w:rsidRPr="00727526">
        <w:t>partes por millón o miligramos por kilogramo de producto</w:t>
      </w:r>
      <w:r>
        <w:t>.</w:t>
      </w:r>
    </w:p>
  </w:footnote>
  <w:footnote w:id="6">
    <w:p w:rsidR="00C848CE" w:rsidRDefault="00C848CE">
      <w:pPr>
        <w:pStyle w:val="Textonotapie"/>
      </w:pPr>
      <w:r>
        <w:rPr>
          <w:rStyle w:val="Refdenotaalpie"/>
        </w:rPr>
        <w:footnoteRef/>
      </w:r>
      <w:r>
        <w:t xml:space="preserve"> Para ver lista de alimentos y marcas sin gluten ir a: </w:t>
      </w:r>
      <w:hyperlink r:id="rId5" w:anchor="lista-de-productos-certificados" w:history="1">
        <w:r w:rsidRPr="00024040">
          <w:rPr>
            <w:rStyle w:val="Hipervnculo"/>
          </w:rPr>
          <w:t>http://www.fundacionconvivir.cl/cocinar-sin-gluten/#lista-de-productos-certificados</w:t>
        </w:r>
      </w:hyperlink>
    </w:p>
  </w:footnote>
  <w:footnote w:id="7">
    <w:p w:rsidR="00C848CE" w:rsidRDefault="00C848CE">
      <w:pPr>
        <w:pStyle w:val="Textonotapie"/>
      </w:pPr>
      <w:r>
        <w:rPr>
          <w:rStyle w:val="Refdenotaalpie"/>
        </w:rPr>
        <w:footnoteRef/>
      </w:r>
      <w:r>
        <w:t xml:space="preserve"> Constitución Política de la República de Chile, Art. 19 N° 9.-</w:t>
      </w:r>
    </w:p>
    <w:p w:rsidR="00C848CE" w:rsidRDefault="00C848CE">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CE" w:rsidRDefault="00C848CE" w:rsidP="00B84E7D">
    <w:pPr>
      <w:pStyle w:val="Encabezado"/>
      <w:jc w:val="center"/>
    </w:pPr>
    <w:r>
      <w:rPr>
        <w:noProof/>
        <w:lang w:val="es-ES" w:eastAsia="es-ES"/>
      </w:rPr>
      <w:drawing>
        <wp:inline distT="0" distB="0" distL="0" distR="0">
          <wp:extent cx="923925" cy="92392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92392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B00B9"/>
    <w:multiLevelType w:val="hybridMultilevel"/>
    <w:tmpl w:val="BF0016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1A12445"/>
    <w:multiLevelType w:val="hybridMultilevel"/>
    <w:tmpl w:val="552A9C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6CB4045"/>
    <w:multiLevelType w:val="hybridMultilevel"/>
    <w:tmpl w:val="BBC61B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0361A1C"/>
    <w:multiLevelType w:val="multilevel"/>
    <w:tmpl w:val="B734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86392C"/>
    <w:multiLevelType w:val="hybridMultilevel"/>
    <w:tmpl w:val="FF8423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AF0536E"/>
    <w:multiLevelType w:val="hybridMultilevel"/>
    <w:tmpl w:val="55C4C0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FE15DEE"/>
    <w:multiLevelType w:val="hybridMultilevel"/>
    <w:tmpl w:val="64EACA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5132CED"/>
    <w:multiLevelType w:val="multilevel"/>
    <w:tmpl w:val="5510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7"/>
  </w:num>
  <w:num w:numId="5">
    <w:abstractNumId w:val="2"/>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F7046"/>
    <w:rsid w:val="0001370B"/>
    <w:rsid w:val="00021012"/>
    <w:rsid w:val="00025B9E"/>
    <w:rsid w:val="00031330"/>
    <w:rsid w:val="00036587"/>
    <w:rsid w:val="00063C49"/>
    <w:rsid w:val="00070481"/>
    <w:rsid w:val="000712DC"/>
    <w:rsid w:val="000929DF"/>
    <w:rsid w:val="00094265"/>
    <w:rsid w:val="000A6951"/>
    <w:rsid w:val="000D159A"/>
    <w:rsid w:val="001105CB"/>
    <w:rsid w:val="00115DC0"/>
    <w:rsid w:val="0012159C"/>
    <w:rsid w:val="001229E0"/>
    <w:rsid w:val="0014532F"/>
    <w:rsid w:val="00151752"/>
    <w:rsid w:val="00153214"/>
    <w:rsid w:val="00157FB1"/>
    <w:rsid w:val="00167FD7"/>
    <w:rsid w:val="00192919"/>
    <w:rsid w:val="00193295"/>
    <w:rsid w:val="001A153E"/>
    <w:rsid w:val="001E0DFC"/>
    <w:rsid w:val="001F35FD"/>
    <w:rsid w:val="001F5436"/>
    <w:rsid w:val="00205705"/>
    <w:rsid w:val="00207E8B"/>
    <w:rsid w:val="00253999"/>
    <w:rsid w:val="0025506D"/>
    <w:rsid w:val="002647F2"/>
    <w:rsid w:val="002802CC"/>
    <w:rsid w:val="0028647E"/>
    <w:rsid w:val="002A28EA"/>
    <w:rsid w:val="002A50F6"/>
    <w:rsid w:val="002B3989"/>
    <w:rsid w:val="002C3A95"/>
    <w:rsid w:val="002E2BFF"/>
    <w:rsid w:val="002F70BC"/>
    <w:rsid w:val="0030536D"/>
    <w:rsid w:val="003214EB"/>
    <w:rsid w:val="00322890"/>
    <w:rsid w:val="00324AC5"/>
    <w:rsid w:val="0034482E"/>
    <w:rsid w:val="00346996"/>
    <w:rsid w:val="003900FD"/>
    <w:rsid w:val="003C3317"/>
    <w:rsid w:val="003D5A2C"/>
    <w:rsid w:val="003E2F52"/>
    <w:rsid w:val="003E2F93"/>
    <w:rsid w:val="003F51C1"/>
    <w:rsid w:val="00425450"/>
    <w:rsid w:val="004278A9"/>
    <w:rsid w:val="00447F27"/>
    <w:rsid w:val="00447F55"/>
    <w:rsid w:val="00470EAE"/>
    <w:rsid w:val="00474C51"/>
    <w:rsid w:val="00496C1E"/>
    <w:rsid w:val="004A34FC"/>
    <w:rsid w:val="004C4903"/>
    <w:rsid w:val="004C7257"/>
    <w:rsid w:val="004D643F"/>
    <w:rsid w:val="004E2C5F"/>
    <w:rsid w:val="004E7CE7"/>
    <w:rsid w:val="004F7BE8"/>
    <w:rsid w:val="00501B0D"/>
    <w:rsid w:val="005163F8"/>
    <w:rsid w:val="00516C40"/>
    <w:rsid w:val="00522B98"/>
    <w:rsid w:val="00522D31"/>
    <w:rsid w:val="00557B56"/>
    <w:rsid w:val="0056310D"/>
    <w:rsid w:val="005A7F0C"/>
    <w:rsid w:val="005D2AAB"/>
    <w:rsid w:val="005E766C"/>
    <w:rsid w:val="00645990"/>
    <w:rsid w:val="00650157"/>
    <w:rsid w:val="00651696"/>
    <w:rsid w:val="00674976"/>
    <w:rsid w:val="00690E28"/>
    <w:rsid w:val="006C07EC"/>
    <w:rsid w:val="006D2316"/>
    <w:rsid w:val="006F0083"/>
    <w:rsid w:val="006F19AA"/>
    <w:rsid w:val="006F2386"/>
    <w:rsid w:val="006F4F41"/>
    <w:rsid w:val="0070134A"/>
    <w:rsid w:val="0070177A"/>
    <w:rsid w:val="00727526"/>
    <w:rsid w:val="0076219E"/>
    <w:rsid w:val="007659F2"/>
    <w:rsid w:val="00784C89"/>
    <w:rsid w:val="007B0B3E"/>
    <w:rsid w:val="007B45D0"/>
    <w:rsid w:val="007C3803"/>
    <w:rsid w:val="007D015D"/>
    <w:rsid w:val="007D2945"/>
    <w:rsid w:val="00817859"/>
    <w:rsid w:val="00822D35"/>
    <w:rsid w:val="00832093"/>
    <w:rsid w:val="00882238"/>
    <w:rsid w:val="008A1167"/>
    <w:rsid w:val="008A26C5"/>
    <w:rsid w:val="008D28FC"/>
    <w:rsid w:val="009009E0"/>
    <w:rsid w:val="00923671"/>
    <w:rsid w:val="00943048"/>
    <w:rsid w:val="0096294D"/>
    <w:rsid w:val="00965C87"/>
    <w:rsid w:val="009746E7"/>
    <w:rsid w:val="00980989"/>
    <w:rsid w:val="009A3DA9"/>
    <w:rsid w:val="009D7BA3"/>
    <w:rsid w:val="009E636E"/>
    <w:rsid w:val="009E6EEF"/>
    <w:rsid w:val="009F12A0"/>
    <w:rsid w:val="009F5A18"/>
    <w:rsid w:val="00A14438"/>
    <w:rsid w:val="00A24BED"/>
    <w:rsid w:val="00A2684A"/>
    <w:rsid w:val="00A452B3"/>
    <w:rsid w:val="00A57D8F"/>
    <w:rsid w:val="00A75698"/>
    <w:rsid w:val="00AA5C28"/>
    <w:rsid w:val="00AA775F"/>
    <w:rsid w:val="00AD6E52"/>
    <w:rsid w:val="00AF23DC"/>
    <w:rsid w:val="00AF74F3"/>
    <w:rsid w:val="00B10DD2"/>
    <w:rsid w:val="00B14075"/>
    <w:rsid w:val="00B17EB5"/>
    <w:rsid w:val="00B214F5"/>
    <w:rsid w:val="00B81F2F"/>
    <w:rsid w:val="00B84E7D"/>
    <w:rsid w:val="00B94504"/>
    <w:rsid w:val="00BA0C98"/>
    <w:rsid w:val="00BA2E94"/>
    <w:rsid w:val="00BA3AB5"/>
    <w:rsid w:val="00BC14A6"/>
    <w:rsid w:val="00BC3038"/>
    <w:rsid w:val="00BC38B1"/>
    <w:rsid w:val="00BC7698"/>
    <w:rsid w:val="00C848CE"/>
    <w:rsid w:val="00CB02C9"/>
    <w:rsid w:val="00CB1320"/>
    <w:rsid w:val="00CB326E"/>
    <w:rsid w:val="00CC515F"/>
    <w:rsid w:val="00D01BE8"/>
    <w:rsid w:val="00D1299F"/>
    <w:rsid w:val="00D24EE6"/>
    <w:rsid w:val="00D31EDB"/>
    <w:rsid w:val="00D33AC5"/>
    <w:rsid w:val="00D4728E"/>
    <w:rsid w:val="00D6134F"/>
    <w:rsid w:val="00D637D5"/>
    <w:rsid w:val="00D660C4"/>
    <w:rsid w:val="00DA0BBE"/>
    <w:rsid w:val="00DD0B1B"/>
    <w:rsid w:val="00DD3380"/>
    <w:rsid w:val="00DD40FA"/>
    <w:rsid w:val="00DD5FDD"/>
    <w:rsid w:val="00DE4A83"/>
    <w:rsid w:val="00DF7046"/>
    <w:rsid w:val="00E41D7E"/>
    <w:rsid w:val="00E543C8"/>
    <w:rsid w:val="00E73A33"/>
    <w:rsid w:val="00E751F6"/>
    <w:rsid w:val="00E77B7B"/>
    <w:rsid w:val="00E9220F"/>
    <w:rsid w:val="00EA47E7"/>
    <w:rsid w:val="00ED587C"/>
    <w:rsid w:val="00EE152E"/>
    <w:rsid w:val="00EF3D65"/>
    <w:rsid w:val="00EF6FFF"/>
    <w:rsid w:val="00EF7E37"/>
    <w:rsid w:val="00F0366D"/>
    <w:rsid w:val="00F05CA7"/>
    <w:rsid w:val="00F10A35"/>
    <w:rsid w:val="00F2127B"/>
    <w:rsid w:val="00F5150E"/>
    <w:rsid w:val="00F57776"/>
    <w:rsid w:val="00F63194"/>
    <w:rsid w:val="00F93E7A"/>
    <w:rsid w:val="00F94E7E"/>
    <w:rsid w:val="00FA057D"/>
    <w:rsid w:val="00FC16D0"/>
    <w:rsid w:val="00FC6A78"/>
    <w:rsid w:val="00FD2220"/>
    <w:rsid w:val="00FD30A7"/>
    <w:rsid w:val="00FF63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046"/>
  </w:style>
  <w:style w:type="paragraph" w:styleId="HTMLconformatoprevio">
    <w:name w:val="HTML Preformatted"/>
    <w:basedOn w:val="Normal"/>
    <w:link w:val="HTMLconformatoprevioCar"/>
    <w:uiPriority w:val="99"/>
    <w:semiHidden/>
    <w:unhideWhenUsed/>
    <w:rsid w:val="00F94E7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94E7E"/>
    <w:rPr>
      <w:rFonts w:ascii="Consolas" w:hAnsi="Consolas"/>
      <w:sz w:val="20"/>
      <w:szCs w:val="20"/>
    </w:rPr>
  </w:style>
  <w:style w:type="paragraph" w:styleId="Textonotapie">
    <w:name w:val="footnote text"/>
    <w:basedOn w:val="Normal"/>
    <w:link w:val="TextonotapieCar"/>
    <w:uiPriority w:val="99"/>
    <w:semiHidden/>
    <w:unhideWhenUsed/>
    <w:rsid w:val="009D7B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7BA3"/>
    <w:rPr>
      <w:sz w:val="20"/>
      <w:szCs w:val="20"/>
    </w:rPr>
  </w:style>
  <w:style w:type="character" w:styleId="Refdenotaalpie">
    <w:name w:val="footnote reference"/>
    <w:basedOn w:val="Fuentedeprrafopredeter"/>
    <w:uiPriority w:val="99"/>
    <w:semiHidden/>
    <w:unhideWhenUsed/>
    <w:rsid w:val="009D7BA3"/>
    <w:rPr>
      <w:vertAlign w:val="superscript"/>
    </w:rPr>
  </w:style>
  <w:style w:type="paragraph" w:styleId="Textodeglobo">
    <w:name w:val="Balloon Text"/>
    <w:basedOn w:val="Normal"/>
    <w:link w:val="TextodegloboCar"/>
    <w:uiPriority w:val="99"/>
    <w:semiHidden/>
    <w:unhideWhenUsed/>
    <w:rsid w:val="008A26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6C5"/>
    <w:rPr>
      <w:rFonts w:ascii="Tahoma" w:hAnsi="Tahoma" w:cs="Tahoma"/>
      <w:sz w:val="16"/>
      <w:szCs w:val="16"/>
    </w:rPr>
  </w:style>
  <w:style w:type="character" w:styleId="Hipervnculo">
    <w:name w:val="Hyperlink"/>
    <w:basedOn w:val="Fuentedeprrafopredeter"/>
    <w:uiPriority w:val="99"/>
    <w:unhideWhenUsed/>
    <w:rsid w:val="00A75698"/>
    <w:rPr>
      <w:color w:val="0563C1" w:themeColor="hyperlink"/>
      <w:u w:val="single"/>
    </w:rPr>
  </w:style>
  <w:style w:type="character" w:customStyle="1" w:styleId="UnresolvedMention">
    <w:name w:val="Unresolved Mention"/>
    <w:basedOn w:val="Fuentedeprrafopredeter"/>
    <w:uiPriority w:val="99"/>
    <w:semiHidden/>
    <w:unhideWhenUsed/>
    <w:rsid w:val="00A75698"/>
    <w:rPr>
      <w:color w:val="808080"/>
      <w:shd w:val="clear" w:color="auto" w:fill="E6E6E6"/>
    </w:rPr>
  </w:style>
  <w:style w:type="paragraph" w:styleId="Prrafodelista">
    <w:name w:val="List Paragraph"/>
    <w:basedOn w:val="Normal"/>
    <w:uiPriority w:val="34"/>
    <w:qFormat/>
    <w:rsid w:val="00BA3AB5"/>
    <w:pPr>
      <w:ind w:left="720"/>
      <w:contextualSpacing/>
    </w:pPr>
  </w:style>
  <w:style w:type="paragraph" w:styleId="Piedepgina">
    <w:name w:val="footer"/>
    <w:basedOn w:val="Normal"/>
    <w:link w:val="PiedepginaCar"/>
    <w:uiPriority w:val="99"/>
    <w:unhideWhenUsed/>
    <w:rsid w:val="00F515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0E"/>
  </w:style>
  <w:style w:type="paragraph" w:styleId="Textonotaalfinal">
    <w:name w:val="endnote text"/>
    <w:basedOn w:val="Normal"/>
    <w:link w:val="TextonotaalfinalCar"/>
    <w:uiPriority w:val="99"/>
    <w:semiHidden/>
    <w:unhideWhenUsed/>
    <w:rsid w:val="0042545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25450"/>
    <w:rPr>
      <w:sz w:val="20"/>
      <w:szCs w:val="20"/>
    </w:rPr>
  </w:style>
  <w:style w:type="character" w:styleId="Refdenotaalfinal">
    <w:name w:val="endnote reference"/>
    <w:basedOn w:val="Fuentedeprrafopredeter"/>
    <w:uiPriority w:val="99"/>
    <w:semiHidden/>
    <w:unhideWhenUsed/>
    <w:rsid w:val="00425450"/>
    <w:rPr>
      <w:vertAlign w:val="superscript"/>
    </w:rPr>
  </w:style>
</w:styles>
</file>

<file path=word/webSettings.xml><?xml version="1.0" encoding="utf-8"?>
<w:webSettings xmlns:r="http://schemas.openxmlformats.org/officeDocument/2006/relationships" xmlns:w="http://schemas.openxmlformats.org/wordprocessingml/2006/main">
  <w:divs>
    <w:div w:id="262537360">
      <w:bodyDiv w:val="1"/>
      <w:marLeft w:val="0"/>
      <w:marRight w:val="0"/>
      <w:marTop w:val="0"/>
      <w:marBottom w:val="0"/>
      <w:divBdr>
        <w:top w:val="none" w:sz="0" w:space="0" w:color="auto"/>
        <w:left w:val="none" w:sz="0" w:space="0" w:color="auto"/>
        <w:bottom w:val="none" w:sz="0" w:space="0" w:color="auto"/>
        <w:right w:val="none" w:sz="0" w:space="0" w:color="auto"/>
      </w:divBdr>
    </w:div>
    <w:div w:id="727067457">
      <w:bodyDiv w:val="1"/>
      <w:marLeft w:val="0"/>
      <w:marRight w:val="0"/>
      <w:marTop w:val="0"/>
      <w:marBottom w:val="0"/>
      <w:divBdr>
        <w:top w:val="none" w:sz="0" w:space="0" w:color="auto"/>
        <w:left w:val="none" w:sz="0" w:space="0" w:color="auto"/>
        <w:bottom w:val="none" w:sz="0" w:space="0" w:color="auto"/>
        <w:right w:val="none" w:sz="0" w:space="0" w:color="auto"/>
      </w:divBdr>
    </w:div>
    <w:div w:id="1168668243">
      <w:bodyDiv w:val="1"/>
      <w:marLeft w:val="0"/>
      <w:marRight w:val="0"/>
      <w:marTop w:val="0"/>
      <w:marBottom w:val="0"/>
      <w:divBdr>
        <w:top w:val="none" w:sz="0" w:space="0" w:color="auto"/>
        <w:left w:val="none" w:sz="0" w:space="0" w:color="auto"/>
        <w:bottom w:val="none" w:sz="0" w:space="0" w:color="auto"/>
        <w:right w:val="none" w:sz="0" w:space="0" w:color="auto"/>
      </w:divBdr>
    </w:div>
    <w:div w:id="1340354474">
      <w:bodyDiv w:val="1"/>
      <w:marLeft w:val="0"/>
      <w:marRight w:val="0"/>
      <w:marTop w:val="0"/>
      <w:marBottom w:val="0"/>
      <w:divBdr>
        <w:top w:val="none" w:sz="0" w:space="0" w:color="auto"/>
        <w:left w:val="none" w:sz="0" w:space="0" w:color="auto"/>
        <w:bottom w:val="none" w:sz="0" w:space="0" w:color="auto"/>
        <w:right w:val="none" w:sz="0" w:space="0" w:color="auto"/>
      </w:divBdr>
      <w:divsChild>
        <w:div w:id="1090352692">
          <w:marLeft w:val="0"/>
          <w:marRight w:val="0"/>
          <w:marTop w:val="0"/>
          <w:marBottom w:val="0"/>
          <w:divBdr>
            <w:top w:val="none" w:sz="0" w:space="0" w:color="auto"/>
            <w:left w:val="none" w:sz="0" w:space="0" w:color="auto"/>
            <w:bottom w:val="none" w:sz="0" w:space="0" w:color="auto"/>
            <w:right w:val="none" w:sz="0" w:space="0" w:color="auto"/>
          </w:divBdr>
          <w:divsChild>
            <w:div w:id="1206917307">
              <w:marLeft w:val="0"/>
              <w:marRight w:val="0"/>
              <w:marTop w:val="0"/>
              <w:marBottom w:val="0"/>
              <w:divBdr>
                <w:top w:val="none" w:sz="0" w:space="0" w:color="auto"/>
                <w:left w:val="none" w:sz="0" w:space="0" w:color="auto"/>
                <w:bottom w:val="none" w:sz="0" w:space="0" w:color="auto"/>
                <w:right w:val="none" w:sz="0" w:space="0" w:color="auto"/>
              </w:divBdr>
              <w:divsChild>
                <w:div w:id="1945991689">
                  <w:marLeft w:val="0"/>
                  <w:marRight w:val="0"/>
                  <w:marTop w:val="0"/>
                  <w:marBottom w:val="0"/>
                  <w:divBdr>
                    <w:top w:val="none" w:sz="0" w:space="0" w:color="auto"/>
                    <w:left w:val="none" w:sz="0" w:space="0" w:color="auto"/>
                    <w:bottom w:val="none" w:sz="0" w:space="0" w:color="auto"/>
                    <w:right w:val="none" w:sz="0" w:space="0" w:color="auto"/>
                  </w:divBdr>
                  <w:divsChild>
                    <w:div w:id="1065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91715">
      <w:bodyDiv w:val="1"/>
      <w:marLeft w:val="0"/>
      <w:marRight w:val="0"/>
      <w:marTop w:val="0"/>
      <w:marBottom w:val="0"/>
      <w:divBdr>
        <w:top w:val="none" w:sz="0" w:space="0" w:color="auto"/>
        <w:left w:val="none" w:sz="0" w:space="0" w:color="auto"/>
        <w:bottom w:val="none" w:sz="0" w:space="0" w:color="auto"/>
        <w:right w:val="none" w:sz="0" w:space="0" w:color="auto"/>
      </w:divBdr>
    </w:div>
    <w:div w:id="194303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prece.minsal.cl/wrdprss_minsal/wp-content/uploads/2016/08/Gu%C3%ADa-EC-Final.pdf" TargetMode="External"/><Relationship Id="rId2" Type="http://schemas.openxmlformats.org/officeDocument/2006/relationships/hyperlink" Target="https://diprece.minsal.cl/wrdprss_minsal/wp-content/uploads/2016/08/Gu%C3%ADa-EC-Final.pdf" TargetMode="External"/><Relationship Id="rId1" Type="http://schemas.openxmlformats.org/officeDocument/2006/relationships/hyperlink" Target="https://diprece.minsal.cl/wrdprss_minsal/wp-content/uploads/2016/08/Gu%C3%ADa-EC-Final.pdf" TargetMode="External"/><Relationship Id="rId5" Type="http://schemas.openxmlformats.org/officeDocument/2006/relationships/hyperlink" Target="http://www.fundacionconvivir.cl/cocinar-sin-gluten/" TargetMode="External"/><Relationship Id="rId4" Type="http://schemas.openxmlformats.org/officeDocument/2006/relationships/hyperlink" Target="http://www.fundacionconvivir.cl/enfermedad-celi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CF26-488E-4A32-9C33-B802B9FA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2430</Words>
  <Characters>13367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codoceo oyanguren</dc:creator>
  <cp:lastModifiedBy>Guillermo Diaz Vallejos</cp:lastModifiedBy>
  <cp:revision>9</cp:revision>
  <dcterms:created xsi:type="dcterms:W3CDTF">2019-08-12T13:34:00Z</dcterms:created>
  <dcterms:modified xsi:type="dcterms:W3CDTF">2019-09-03T23:11:00Z</dcterms:modified>
</cp:coreProperties>
</file>