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AD170F" w:rsidRPr="00976D17" w:rsidRDefault="00976D17" w:rsidP="00976D17">
      <w:pPr>
        <w:pBdr>
          <w:top w:val="nil"/>
          <w:left w:val="nil"/>
          <w:bottom w:val="nil"/>
          <w:right w:val="nil"/>
          <w:between w:val="nil"/>
        </w:pBdr>
        <w:ind w:right="-138"/>
        <w:jc w:val="both"/>
        <w:rPr>
          <w:rFonts w:ascii="Palatino Linotype" w:eastAsia="Palatino Linotype" w:hAnsi="Palatino Linotype" w:cs="Palatino Linotype"/>
          <w:b/>
          <w:color w:val="000000"/>
          <w:sz w:val="24"/>
          <w:szCs w:val="24"/>
        </w:rPr>
      </w:pPr>
      <w:r w:rsidRPr="00976D17">
        <w:rPr>
          <w:rFonts w:ascii="Palatino Linotype" w:eastAsia="Palatino Linotype" w:hAnsi="Palatino Linotype" w:cs="Palatino Linotype"/>
          <w:b/>
          <w:color w:val="000000"/>
          <w:sz w:val="24"/>
          <w:szCs w:val="24"/>
        </w:rPr>
        <w:t>Modifica la ley N° 20.234, que Establece un procedimiento de saneamiento y regularización de loteos, en materia de requisitos y trámites, y amplía su plazo de vigencia</w:t>
      </w:r>
    </w:p>
    <w:p w:rsidR="00976D17" w:rsidRPr="00976D17" w:rsidRDefault="00976D17" w:rsidP="00976D17">
      <w:pPr>
        <w:pBdr>
          <w:top w:val="nil"/>
          <w:left w:val="nil"/>
          <w:bottom w:val="nil"/>
          <w:right w:val="nil"/>
          <w:between w:val="nil"/>
        </w:pBdr>
        <w:ind w:right="-138"/>
        <w:jc w:val="center"/>
        <w:rPr>
          <w:rFonts w:ascii="Palatino Linotype" w:eastAsia="Palatino Linotype" w:hAnsi="Palatino Linotype" w:cs="Palatino Linotype"/>
          <w:b/>
          <w:color w:val="000000"/>
          <w:sz w:val="24"/>
          <w:szCs w:val="24"/>
        </w:rPr>
      </w:pPr>
    </w:p>
    <w:p w:rsidR="00976D17" w:rsidRPr="00976D17" w:rsidRDefault="00976D17" w:rsidP="00976D17">
      <w:pPr>
        <w:pBdr>
          <w:top w:val="nil"/>
          <w:left w:val="nil"/>
          <w:bottom w:val="nil"/>
          <w:right w:val="nil"/>
          <w:between w:val="nil"/>
        </w:pBdr>
        <w:ind w:right="-138"/>
        <w:jc w:val="center"/>
        <w:rPr>
          <w:rFonts w:ascii="Palatino Linotype" w:eastAsia="Palatino Linotype" w:hAnsi="Palatino Linotype" w:cs="Palatino Linotype"/>
          <w:b/>
          <w:color w:val="000000"/>
          <w:sz w:val="24"/>
          <w:szCs w:val="24"/>
        </w:rPr>
      </w:pPr>
      <w:r w:rsidRPr="00976D17">
        <w:rPr>
          <w:rFonts w:ascii="Palatino Linotype" w:eastAsia="Palatino Linotype" w:hAnsi="Palatino Linotype" w:cs="Palatino Linotype"/>
          <w:b/>
          <w:color w:val="000000"/>
          <w:sz w:val="24"/>
          <w:szCs w:val="24"/>
        </w:rPr>
        <w:t>Boletín N° 12872-14</w:t>
      </w:r>
    </w:p>
    <w:p w:rsidR="001442B2" w:rsidRDefault="001442B2" w:rsidP="00976D17">
      <w:pPr>
        <w:pBdr>
          <w:top w:val="nil"/>
          <w:left w:val="nil"/>
          <w:bottom w:val="nil"/>
          <w:right w:val="nil"/>
          <w:between w:val="nil"/>
        </w:pBdr>
        <w:ind w:right="-138"/>
        <w:jc w:val="center"/>
        <w:rPr>
          <w:rFonts w:ascii="Palatino Linotype" w:eastAsia="Palatino Linotype" w:hAnsi="Palatino Linotype" w:cs="Palatino Linotype"/>
          <w:b/>
          <w:color w:val="000000"/>
        </w:rPr>
      </w:pPr>
    </w:p>
    <w:p w:rsidR="0012025C" w:rsidRDefault="0012025C" w:rsidP="00976D17">
      <w:pPr>
        <w:pBdr>
          <w:top w:val="nil"/>
          <w:left w:val="nil"/>
          <w:bottom w:val="nil"/>
          <w:right w:val="nil"/>
          <w:between w:val="nil"/>
        </w:pBdr>
        <w:ind w:right="-138"/>
        <w:jc w:val="center"/>
        <w:rPr>
          <w:rFonts w:ascii="Palatino Linotype" w:eastAsia="Palatino Linotype" w:hAnsi="Palatino Linotype" w:cs="Palatino Linotype"/>
          <w:color w:val="000000"/>
          <w:sz w:val="16"/>
          <w:szCs w:val="16"/>
        </w:rPr>
      </w:pPr>
    </w:p>
    <w:p w:rsidR="0012025C" w:rsidRDefault="00476ECF"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ANTECEDENTES</w:t>
      </w:r>
    </w:p>
    <w:p w:rsidR="0012025C" w:rsidRDefault="00476ECF" w:rsidP="00976D17">
      <w:pPr>
        <w:pBdr>
          <w:top w:val="nil"/>
          <w:left w:val="nil"/>
          <w:bottom w:val="nil"/>
          <w:right w:val="nil"/>
          <w:between w:val="nil"/>
        </w:pBdr>
        <w:ind w:right="-138"/>
        <w:jc w:val="both"/>
        <w:rPr>
          <w:rFonts w:ascii="Palatino Linotype" w:eastAsia="Palatino Linotype" w:hAnsi="Palatino Linotype" w:cs="Palatino Linotype"/>
          <w:b/>
          <w:color w:val="000000"/>
          <w:sz w:val="16"/>
          <w:szCs w:val="16"/>
        </w:rPr>
      </w:pPr>
      <w:r>
        <w:rPr>
          <w:rFonts w:ascii="Palatino Linotype" w:eastAsia="Palatino Linotype" w:hAnsi="Palatino Linotype" w:cs="Palatino Linotype"/>
          <w:b/>
          <w:color w:val="000000"/>
        </w:rPr>
        <w:t xml:space="preserve"> </w:t>
      </w:r>
    </w:p>
    <w:p w:rsidR="0012025C" w:rsidRDefault="00476EC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bookmarkStart w:id="0" w:name="_gjdgxs" w:colFirst="0" w:colLast="0"/>
      <w:bookmarkEnd w:id="0"/>
      <w:r>
        <w:rPr>
          <w:rFonts w:ascii="Palatino Linotype" w:eastAsia="Palatino Linotype" w:hAnsi="Palatino Linotype" w:cs="Palatino Linotype"/>
          <w:color w:val="000000"/>
        </w:rPr>
        <w:t xml:space="preserve"> </w:t>
      </w:r>
      <w:r w:rsidR="00E72209">
        <w:rPr>
          <w:rFonts w:ascii="Palatino Linotype" w:eastAsia="Palatino Linotype" w:hAnsi="Palatino Linotype" w:cs="Palatino Linotype"/>
          <w:color w:val="000000"/>
        </w:rPr>
        <w:t xml:space="preserve"> La Ley N° 20.234, </w:t>
      </w:r>
      <w:r w:rsidR="00F63F51">
        <w:rPr>
          <w:rFonts w:ascii="Palatino Linotype" w:eastAsia="Palatino Linotype" w:hAnsi="Palatino Linotype" w:cs="Palatino Linotype"/>
          <w:color w:val="000000"/>
        </w:rPr>
        <w:t xml:space="preserve">presentada </w:t>
      </w:r>
      <w:r w:rsidR="003A4A8B">
        <w:rPr>
          <w:rFonts w:ascii="Palatino Linotype" w:eastAsia="Palatino Linotype" w:hAnsi="Palatino Linotype" w:cs="Palatino Linotype"/>
          <w:color w:val="000000"/>
        </w:rPr>
        <w:t xml:space="preserve">como moción </w:t>
      </w:r>
      <w:r w:rsidR="00F63F51">
        <w:rPr>
          <w:rFonts w:ascii="Palatino Linotype" w:eastAsia="Palatino Linotype" w:hAnsi="Palatino Linotype" w:cs="Palatino Linotype"/>
          <w:color w:val="000000"/>
        </w:rPr>
        <w:t>el 12 de abril de 2007 por los diputados</w:t>
      </w:r>
      <w:r w:rsidR="00C34A78">
        <w:rPr>
          <w:rFonts w:ascii="Palatino Linotype" w:eastAsia="Palatino Linotype" w:hAnsi="Palatino Linotype" w:cs="Palatino Linotype"/>
          <w:color w:val="000000"/>
        </w:rPr>
        <w:t xml:space="preserve"> Eugenio Tuma y Rodrigo González</w:t>
      </w:r>
      <w:r w:rsidR="00E02FB1">
        <w:rPr>
          <w:rFonts w:ascii="Palatino Linotype" w:eastAsia="Palatino Linotype" w:hAnsi="Palatino Linotype" w:cs="Palatino Linotype"/>
          <w:color w:val="000000"/>
        </w:rPr>
        <w:t xml:space="preserve"> </w:t>
      </w:r>
      <w:r w:rsidR="00F63F51">
        <w:rPr>
          <w:rFonts w:ascii="Palatino Linotype" w:eastAsia="Palatino Linotype" w:hAnsi="Palatino Linotype" w:cs="Palatino Linotype"/>
          <w:color w:val="000000"/>
        </w:rPr>
        <w:t xml:space="preserve">, </w:t>
      </w:r>
      <w:r w:rsidR="003A4A8B">
        <w:rPr>
          <w:rFonts w:ascii="Palatino Linotype" w:eastAsia="Palatino Linotype" w:hAnsi="Palatino Linotype" w:cs="Palatino Linotype"/>
          <w:color w:val="000000"/>
        </w:rPr>
        <w:t xml:space="preserve">tramitada durante todo el año 2007 y publicada </w:t>
      </w:r>
      <w:r w:rsidR="00E72209">
        <w:rPr>
          <w:rFonts w:ascii="Palatino Linotype" w:eastAsia="Palatino Linotype" w:hAnsi="Palatino Linotype" w:cs="Palatino Linotype"/>
          <w:color w:val="000000"/>
        </w:rPr>
        <w:t xml:space="preserve">en el Diario Oficial </w:t>
      </w:r>
      <w:r w:rsidR="00976D17">
        <w:rPr>
          <w:rFonts w:ascii="Palatino Linotype" w:eastAsia="Palatino Linotype" w:hAnsi="Palatino Linotype" w:cs="Palatino Linotype"/>
          <w:color w:val="000000"/>
        </w:rPr>
        <w:t xml:space="preserve"> </w:t>
      </w:r>
      <w:r w:rsidR="00E72209">
        <w:rPr>
          <w:rFonts w:ascii="Palatino Linotype" w:eastAsia="Palatino Linotype" w:hAnsi="Palatino Linotype" w:cs="Palatino Linotype"/>
          <w:color w:val="000000"/>
        </w:rPr>
        <w:t xml:space="preserve">el 5 de enero de 2008, permitió establecer </w:t>
      </w:r>
      <w:r w:rsidR="00E72209" w:rsidRPr="00E72209">
        <w:rPr>
          <w:rFonts w:ascii="Palatino Linotype" w:eastAsia="Palatino Linotype" w:hAnsi="Palatino Linotype" w:cs="Palatino Linotype"/>
          <w:color w:val="000000"/>
        </w:rPr>
        <w:t>un sistema simple y eficaz de regularización de loteos</w:t>
      </w:r>
      <w:r w:rsidR="00450C1B">
        <w:rPr>
          <w:rFonts w:ascii="Palatino Linotype" w:eastAsia="Palatino Linotype" w:hAnsi="Palatino Linotype" w:cs="Palatino Linotype"/>
          <w:color w:val="000000"/>
        </w:rPr>
        <w:t xml:space="preserve"> </w:t>
      </w:r>
      <w:r w:rsidR="00976D17">
        <w:rPr>
          <w:rFonts w:ascii="Palatino Linotype" w:eastAsia="Palatino Linotype" w:hAnsi="Palatino Linotype" w:cs="Palatino Linotype"/>
          <w:color w:val="000000"/>
        </w:rPr>
        <w:t xml:space="preserve">  </w:t>
      </w:r>
      <w:r w:rsidR="00450C1B">
        <w:rPr>
          <w:rFonts w:ascii="Palatino Linotype" w:eastAsia="Palatino Linotype" w:hAnsi="Palatino Linotype" w:cs="Palatino Linotype"/>
          <w:color w:val="000000"/>
        </w:rPr>
        <w:t>y campamentos</w:t>
      </w:r>
      <w:r w:rsidR="00E72209">
        <w:rPr>
          <w:rFonts w:ascii="Palatino Linotype" w:eastAsia="Palatino Linotype" w:hAnsi="Palatino Linotype" w:cs="Palatino Linotype"/>
          <w:color w:val="000000"/>
        </w:rPr>
        <w:t xml:space="preserve">, </w:t>
      </w:r>
      <w:r w:rsidR="00147EF4">
        <w:rPr>
          <w:rFonts w:ascii="Palatino Linotype" w:eastAsia="Palatino Linotype" w:hAnsi="Palatino Linotype" w:cs="Palatino Linotype"/>
          <w:color w:val="000000"/>
        </w:rPr>
        <w:t>posibilitando</w:t>
      </w:r>
      <w:r w:rsidR="00E72209">
        <w:rPr>
          <w:rFonts w:ascii="Palatino Linotype" w:eastAsia="Palatino Linotype" w:hAnsi="Palatino Linotype" w:cs="Palatino Linotype"/>
          <w:color w:val="000000"/>
        </w:rPr>
        <w:t xml:space="preserve"> una </w:t>
      </w:r>
      <w:r w:rsidR="00E72209" w:rsidRPr="00E72209">
        <w:rPr>
          <w:rFonts w:ascii="Palatino Linotype" w:eastAsia="Palatino Linotype" w:hAnsi="Palatino Linotype" w:cs="Palatino Linotype"/>
          <w:color w:val="000000"/>
        </w:rPr>
        <w:t xml:space="preserve">intervención </w:t>
      </w:r>
      <w:r w:rsidR="00E72209">
        <w:rPr>
          <w:rFonts w:ascii="Palatino Linotype" w:eastAsia="Palatino Linotype" w:hAnsi="Palatino Linotype" w:cs="Palatino Linotype"/>
          <w:color w:val="000000"/>
        </w:rPr>
        <w:t xml:space="preserve">más efectiva </w:t>
      </w:r>
      <w:r w:rsidR="00E72209" w:rsidRPr="00E72209">
        <w:rPr>
          <w:rFonts w:ascii="Palatino Linotype" w:eastAsia="Palatino Linotype" w:hAnsi="Palatino Linotype" w:cs="Palatino Linotype"/>
          <w:color w:val="000000"/>
        </w:rPr>
        <w:t xml:space="preserve">de los organismos públicos en poblaciones y barrios que tienen el carácter de propiedad irregular, </w:t>
      </w:r>
      <w:r w:rsidR="00147EF4">
        <w:rPr>
          <w:rFonts w:ascii="Palatino Linotype" w:eastAsia="Palatino Linotype" w:hAnsi="Palatino Linotype" w:cs="Palatino Linotype"/>
          <w:color w:val="000000"/>
        </w:rPr>
        <w:t>favoreciendo con ello a miles de</w:t>
      </w:r>
      <w:r w:rsidR="00E72209" w:rsidRPr="00E72209">
        <w:rPr>
          <w:rFonts w:ascii="Palatino Linotype" w:eastAsia="Palatino Linotype" w:hAnsi="Palatino Linotype" w:cs="Palatino Linotype"/>
          <w:color w:val="000000"/>
        </w:rPr>
        <w:t xml:space="preserve"> familias de escasos recursos, </w:t>
      </w:r>
      <w:r w:rsidR="00147EF4">
        <w:rPr>
          <w:rFonts w:ascii="Palatino Linotype" w:eastAsia="Palatino Linotype" w:hAnsi="Palatino Linotype" w:cs="Palatino Linotype"/>
          <w:color w:val="000000"/>
        </w:rPr>
        <w:t xml:space="preserve">quienes pudieron </w:t>
      </w:r>
      <w:r w:rsidR="00E72209" w:rsidRPr="00E72209">
        <w:rPr>
          <w:rFonts w:ascii="Palatino Linotype" w:eastAsia="Palatino Linotype" w:hAnsi="Palatino Linotype" w:cs="Palatino Linotype"/>
          <w:color w:val="000000"/>
        </w:rPr>
        <w:t>incorporarse a</w:t>
      </w:r>
      <w:r w:rsidR="00147EF4">
        <w:rPr>
          <w:rFonts w:ascii="Palatino Linotype" w:eastAsia="Palatino Linotype" w:hAnsi="Palatino Linotype" w:cs="Palatino Linotype"/>
          <w:color w:val="000000"/>
        </w:rPr>
        <w:t xml:space="preserve"> diversos</w:t>
      </w:r>
      <w:r w:rsidR="00E72209" w:rsidRPr="00E72209">
        <w:rPr>
          <w:rFonts w:ascii="Palatino Linotype" w:eastAsia="Palatino Linotype" w:hAnsi="Palatino Linotype" w:cs="Palatino Linotype"/>
          <w:color w:val="000000"/>
        </w:rPr>
        <w:t xml:space="preserve"> progra</w:t>
      </w:r>
      <w:r w:rsidR="004944B0">
        <w:rPr>
          <w:rFonts w:ascii="Palatino Linotype" w:eastAsia="Palatino Linotype" w:hAnsi="Palatino Linotype" w:cs="Palatino Linotype"/>
          <w:color w:val="000000"/>
        </w:rPr>
        <w:t>mas sociales</w:t>
      </w:r>
      <w:r w:rsidR="00310FF4">
        <w:rPr>
          <w:rFonts w:ascii="Palatino Linotype" w:eastAsia="Palatino Linotype" w:hAnsi="Palatino Linotype" w:cs="Palatino Linotype"/>
          <w:color w:val="000000"/>
        </w:rPr>
        <w:t xml:space="preserve"> de urbanización</w:t>
      </w:r>
      <w:r w:rsidR="00147EF4">
        <w:rPr>
          <w:rFonts w:ascii="Palatino Linotype" w:eastAsia="Palatino Linotype" w:hAnsi="Palatino Linotype" w:cs="Palatino Linotype"/>
          <w:color w:val="000000"/>
        </w:rPr>
        <w:t>. En efecto, la regularización de los loteos</w:t>
      </w:r>
      <w:r w:rsidR="00450C1B">
        <w:rPr>
          <w:rFonts w:ascii="Palatino Linotype" w:eastAsia="Palatino Linotype" w:hAnsi="Palatino Linotype" w:cs="Palatino Linotype"/>
          <w:color w:val="000000"/>
        </w:rPr>
        <w:t xml:space="preserve"> y campamentos</w:t>
      </w:r>
      <w:r w:rsidR="00147EF4">
        <w:rPr>
          <w:rFonts w:ascii="Palatino Linotype" w:eastAsia="Palatino Linotype" w:hAnsi="Palatino Linotype" w:cs="Palatino Linotype"/>
          <w:color w:val="000000"/>
        </w:rPr>
        <w:t xml:space="preserve">, permitió a dichas familias </w:t>
      </w:r>
      <w:r w:rsidR="004944B0">
        <w:rPr>
          <w:rFonts w:ascii="Palatino Linotype" w:eastAsia="Palatino Linotype" w:hAnsi="Palatino Linotype" w:cs="Palatino Linotype"/>
          <w:color w:val="000000"/>
        </w:rPr>
        <w:t>el acceso a proyectos</w:t>
      </w:r>
      <w:r w:rsidR="00147EF4">
        <w:rPr>
          <w:rFonts w:ascii="Palatino Linotype" w:eastAsia="Palatino Linotype" w:hAnsi="Palatino Linotype" w:cs="Palatino Linotype"/>
          <w:color w:val="000000"/>
        </w:rPr>
        <w:t xml:space="preserve"> de pavimentación de </w:t>
      </w:r>
      <w:r w:rsidR="00147EF4" w:rsidRPr="00147EF4">
        <w:rPr>
          <w:rFonts w:ascii="Palatino Linotype" w:eastAsia="Palatino Linotype" w:hAnsi="Palatino Linotype" w:cs="Palatino Linotype"/>
          <w:color w:val="000000"/>
        </w:rPr>
        <w:t xml:space="preserve">calles, </w:t>
      </w:r>
      <w:r w:rsidR="00147EF4">
        <w:rPr>
          <w:rFonts w:ascii="Palatino Linotype" w:eastAsia="Palatino Linotype" w:hAnsi="Palatino Linotype" w:cs="Palatino Linotype"/>
          <w:color w:val="000000"/>
        </w:rPr>
        <w:t xml:space="preserve">de instalación de </w:t>
      </w:r>
      <w:r w:rsidR="00147EF4" w:rsidRPr="00147EF4">
        <w:rPr>
          <w:rFonts w:ascii="Palatino Linotype" w:eastAsia="Palatino Linotype" w:hAnsi="Palatino Linotype" w:cs="Palatino Linotype"/>
          <w:color w:val="000000"/>
        </w:rPr>
        <w:t>alumbrado público,</w:t>
      </w:r>
      <w:r w:rsidR="00147EF4">
        <w:rPr>
          <w:rFonts w:ascii="Palatino Linotype" w:eastAsia="Palatino Linotype" w:hAnsi="Palatino Linotype" w:cs="Palatino Linotype"/>
          <w:color w:val="000000"/>
        </w:rPr>
        <w:t xml:space="preserve"> de construcción de redes de</w:t>
      </w:r>
      <w:r w:rsidR="004944B0">
        <w:rPr>
          <w:rFonts w:ascii="Palatino Linotype" w:eastAsia="Palatino Linotype" w:hAnsi="Palatino Linotype" w:cs="Palatino Linotype"/>
          <w:color w:val="000000"/>
        </w:rPr>
        <w:t xml:space="preserve"> agua potable y</w:t>
      </w:r>
      <w:r w:rsidR="00147EF4" w:rsidRPr="00147EF4">
        <w:rPr>
          <w:rFonts w:ascii="Palatino Linotype" w:eastAsia="Palatino Linotype" w:hAnsi="Palatino Linotype" w:cs="Palatino Linotype"/>
          <w:color w:val="000000"/>
        </w:rPr>
        <w:t xml:space="preserve"> </w:t>
      </w:r>
      <w:r w:rsidR="00147EF4">
        <w:rPr>
          <w:rFonts w:ascii="Palatino Linotype" w:eastAsia="Palatino Linotype" w:hAnsi="Palatino Linotype" w:cs="Palatino Linotype"/>
          <w:color w:val="000000"/>
        </w:rPr>
        <w:t xml:space="preserve">de </w:t>
      </w:r>
      <w:r w:rsidR="004944B0">
        <w:rPr>
          <w:rFonts w:ascii="Palatino Linotype" w:eastAsia="Palatino Linotype" w:hAnsi="Palatino Linotype" w:cs="Palatino Linotype"/>
          <w:color w:val="000000"/>
        </w:rPr>
        <w:t xml:space="preserve">establecimiento de </w:t>
      </w:r>
      <w:r w:rsidR="00147EF4" w:rsidRPr="00147EF4">
        <w:rPr>
          <w:rFonts w:ascii="Palatino Linotype" w:eastAsia="Palatino Linotype" w:hAnsi="Palatino Linotype" w:cs="Palatino Linotype"/>
          <w:color w:val="000000"/>
        </w:rPr>
        <w:t>servici</w:t>
      </w:r>
      <w:r w:rsidR="00147EF4">
        <w:rPr>
          <w:rFonts w:ascii="Palatino Linotype" w:eastAsia="Palatino Linotype" w:hAnsi="Palatino Linotype" w:cs="Palatino Linotype"/>
          <w:color w:val="000000"/>
        </w:rPr>
        <w:t>os de recolección de basura</w:t>
      </w:r>
      <w:r w:rsidR="004944B0">
        <w:rPr>
          <w:rFonts w:ascii="Palatino Linotype" w:eastAsia="Palatino Linotype" w:hAnsi="Palatino Linotype" w:cs="Palatino Linotype"/>
          <w:color w:val="000000"/>
        </w:rPr>
        <w:t>, además de diversos subsidios estatales.</w:t>
      </w:r>
    </w:p>
    <w:p w:rsidR="004944B0" w:rsidRDefault="004944B0"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4944B0" w:rsidRDefault="00CE3BF8"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Ley</w:t>
      </w:r>
      <w:r w:rsidR="004944B0">
        <w:rPr>
          <w:rFonts w:ascii="Palatino Linotype" w:eastAsia="Palatino Linotype" w:hAnsi="Palatino Linotype" w:cs="Palatino Linotype"/>
          <w:color w:val="000000"/>
        </w:rPr>
        <w:t xml:space="preserve"> N° 20.562, publicada en el Diario Oficial el 25 de enero de 2012, y </w:t>
      </w:r>
      <w:r>
        <w:rPr>
          <w:rFonts w:ascii="Palatino Linotype" w:eastAsia="Palatino Linotype" w:hAnsi="Palatino Linotype" w:cs="Palatino Linotype"/>
          <w:color w:val="000000"/>
        </w:rPr>
        <w:t xml:space="preserve">la Ley N° </w:t>
      </w:r>
      <w:r w:rsidR="004944B0">
        <w:rPr>
          <w:rFonts w:ascii="Palatino Linotype" w:eastAsia="Palatino Linotype" w:hAnsi="Palatino Linotype" w:cs="Palatino Linotype"/>
          <w:color w:val="000000"/>
        </w:rPr>
        <w:t>20.812, publicada en el Diario Oficial el 30 de enero de 2015, perfeccionaron en di</w:t>
      </w:r>
      <w:r>
        <w:rPr>
          <w:rFonts w:ascii="Palatino Linotype" w:eastAsia="Palatino Linotype" w:hAnsi="Palatino Linotype" w:cs="Palatino Linotype"/>
          <w:color w:val="000000"/>
        </w:rPr>
        <w:t>versos aspectos el texto original</w:t>
      </w:r>
      <w:r w:rsidR="004944B0">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prorrogando</w:t>
      </w:r>
      <w:r w:rsidRPr="00CE3BF8">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 xml:space="preserve">esta última ley, </w:t>
      </w:r>
      <w:r w:rsidRPr="00CE3BF8">
        <w:rPr>
          <w:rFonts w:ascii="Palatino Linotype" w:eastAsia="Palatino Linotype" w:hAnsi="Palatino Linotype" w:cs="Palatino Linotype"/>
          <w:color w:val="000000"/>
        </w:rPr>
        <w:t xml:space="preserve">el procedimiento simplificado de regularización </w:t>
      </w:r>
      <w:r>
        <w:rPr>
          <w:rFonts w:ascii="Palatino Linotype" w:eastAsia="Palatino Linotype" w:hAnsi="Palatino Linotype" w:cs="Palatino Linotype"/>
          <w:color w:val="000000"/>
        </w:rPr>
        <w:t>de la L</w:t>
      </w:r>
      <w:r w:rsidRPr="00CE3BF8">
        <w:rPr>
          <w:rFonts w:ascii="Palatino Linotype" w:eastAsia="Palatino Linotype" w:hAnsi="Palatino Linotype" w:cs="Palatino Linotype"/>
          <w:color w:val="000000"/>
        </w:rPr>
        <w:t>ey Nº 20.234</w:t>
      </w:r>
      <w:r>
        <w:rPr>
          <w:rFonts w:ascii="Palatino Linotype" w:eastAsia="Palatino Linotype" w:hAnsi="Palatino Linotype" w:cs="Palatino Linotype"/>
          <w:color w:val="000000"/>
        </w:rPr>
        <w:t>,</w:t>
      </w:r>
      <w:r w:rsidRPr="00CE3BF8">
        <w:t xml:space="preserve"> </w:t>
      </w:r>
      <w:r w:rsidRPr="00CE3BF8">
        <w:rPr>
          <w:rFonts w:ascii="Palatino Linotype" w:eastAsia="Palatino Linotype" w:hAnsi="Palatino Linotype" w:cs="Palatino Linotype"/>
          <w:color w:val="000000"/>
        </w:rPr>
        <w:t>por el plazo de cinco años,</w:t>
      </w:r>
      <w:r>
        <w:rPr>
          <w:rFonts w:ascii="Palatino Linotype" w:eastAsia="Palatino Linotype" w:hAnsi="Palatino Linotype" w:cs="Palatino Linotype"/>
          <w:color w:val="000000"/>
        </w:rPr>
        <w:t xml:space="preserve"> el cual expira el próximo 30 de enero de 2020.</w:t>
      </w:r>
    </w:p>
    <w:p w:rsidR="00CE3BF8" w:rsidRDefault="00CE3BF8"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CE3BF8" w:rsidRDefault="00CE3BF8"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Atendida la próxima expiración del plazo de la Ley N° 20.234, se hace necesario legislar, con el objeto de ampliar el plazo de vigencia de la misma, </w:t>
      </w:r>
      <w:r w:rsidR="00310FF4">
        <w:rPr>
          <w:rFonts w:ascii="Palatino Linotype" w:eastAsia="Palatino Linotype" w:hAnsi="Palatino Linotype" w:cs="Palatino Linotype"/>
          <w:color w:val="000000"/>
        </w:rPr>
        <w:t xml:space="preserve">así como para mejorar algunos aspectos de dicha normativa, a fin de permitir la regularización de los numerosos loteos </w:t>
      </w:r>
      <w:r w:rsidR="008B6256">
        <w:rPr>
          <w:rFonts w:ascii="Palatino Linotype" w:eastAsia="Palatino Linotype" w:hAnsi="Palatino Linotype" w:cs="Palatino Linotype"/>
          <w:color w:val="000000"/>
        </w:rPr>
        <w:t xml:space="preserve">y campamentos </w:t>
      </w:r>
      <w:r w:rsidR="00310FF4">
        <w:rPr>
          <w:rFonts w:ascii="Palatino Linotype" w:eastAsia="Palatino Linotype" w:hAnsi="Palatino Linotype" w:cs="Palatino Linotype"/>
          <w:color w:val="000000"/>
        </w:rPr>
        <w:t xml:space="preserve">que aún faltan por regularizar en nuestro país.  </w:t>
      </w:r>
    </w:p>
    <w:p w:rsidR="0012025C" w:rsidRDefault="0012025C"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12025C" w:rsidRDefault="00476ECF"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 OBJETO DEL PROYECTO</w:t>
      </w:r>
    </w:p>
    <w:p w:rsidR="004B7EB2" w:rsidRDefault="004B7EB2"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p>
    <w:p w:rsidR="00450C1B" w:rsidRDefault="00450C1B" w:rsidP="00976D17">
      <w:pPr>
        <w:pBdr>
          <w:top w:val="nil"/>
          <w:left w:val="nil"/>
          <w:bottom w:val="nil"/>
          <w:right w:val="nil"/>
          <w:between w:val="nil"/>
        </w:pBdr>
        <w:ind w:right="-138"/>
        <w:jc w:val="both"/>
        <w:rPr>
          <w:rFonts w:ascii="Palatino Linotype" w:eastAsia="Palatino Linotype" w:hAnsi="Palatino Linotype" w:cs="Palatino Linotype"/>
          <w:color w:val="000000"/>
        </w:rPr>
      </w:pPr>
      <w:r w:rsidRPr="00450C1B">
        <w:rPr>
          <w:rFonts w:ascii="Palatino Linotype" w:eastAsia="Palatino Linotype" w:hAnsi="Palatino Linotype" w:cs="Palatino Linotype"/>
          <w:color w:val="000000"/>
        </w:rPr>
        <w:t>Se proponen las siguientes modificaciones a la Ley N° 20.234:</w:t>
      </w:r>
    </w:p>
    <w:p w:rsidR="004B7EB2" w:rsidRPr="00450C1B" w:rsidRDefault="004B7EB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450C1B" w:rsidRDefault="00450C1B"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 Prórroga del plazo de vigencia de la Ley N° 20.234 a 10 años:</w:t>
      </w:r>
    </w:p>
    <w:p w:rsidR="00450C1B" w:rsidRDefault="00450C1B" w:rsidP="00976D17">
      <w:pPr>
        <w:pBdr>
          <w:top w:val="nil"/>
          <w:left w:val="nil"/>
          <w:bottom w:val="nil"/>
          <w:right w:val="nil"/>
          <w:between w:val="nil"/>
        </w:pBdr>
        <w:ind w:right="-279" w:firstLine="360"/>
        <w:jc w:val="both"/>
        <w:rPr>
          <w:rFonts w:ascii="Palatino Linotype" w:eastAsia="Palatino Linotype" w:hAnsi="Palatino Linotype" w:cs="Palatino Linotype"/>
          <w:color w:val="000000"/>
        </w:rPr>
      </w:pPr>
      <w:r w:rsidRPr="00450C1B">
        <w:rPr>
          <w:rFonts w:ascii="Palatino Linotype" w:eastAsia="Palatino Linotype" w:hAnsi="Palatino Linotype" w:cs="Palatino Linotype"/>
          <w:color w:val="000000"/>
        </w:rPr>
        <w:t>Se propone ampliar el plazo</w:t>
      </w:r>
      <w:r>
        <w:rPr>
          <w:rFonts w:ascii="Palatino Linotype" w:eastAsia="Palatino Linotype" w:hAnsi="Palatino Linotype" w:cs="Palatino Linotype"/>
          <w:color w:val="000000"/>
        </w:rPr>
        <w:t xml:space="preserve"> de vigencia a 10 años, a contar de la publicación en el Diario Oficial de la ley que se origine en virtud de la presente moción, tiempo que se considera suficiente para permitir un mayor número de recepciones definitivas y parciales de loteos irregulares y campamentos.</w:t>
      </w:r>
    </w:p>
    <w:p w:rsidR="00450C1B" w:rsidRDefault="00450C1B"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0B4FD2" w:rsidRPr="000B4FD2" w:rsidRDefault="000B4FD2"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2</w:t>
      </w:r>
      <w:r w:rsidRPr="000B4FD2">
        <w:rPr>
          <w:rFonts w:ascii="Palatino Linotype" w:eastAsia="Palatino Linotype" w:hAnsi="Palatino Linotype" w:cs="Palatino Linotype"/>
          <w:b/>
          <w:color w:val="000000"/>
        </w:rPr>
        <w:t>.-</w:t>
      </w:r>
      <w:r w:rsidR="00E17259">
        <w:rPr>
          <w:rFonts w:ascii="Palatino Linotype" w:eastAsia="Palatino Linotype" w:hAnsi="Palatino Linotype" w:cs="Palatino Linotype"/>
          <w:b/>
          <w:color w:val="000000"/>
        </w:rPr>
        <w:t xml:space="preserve"> Eliminación del requisito de exigencia</w:t>
      </w:r>
      <w:r w:rsidRPr="000B4FD2">
        <w:rPr>
          <w:rFonts w:ascii="Palatino Linotype" w:eastAsia="Palatino Linotype" w:hAnsi="Palatino Linotype" w:cs="Palatino Linotype"/>
          <w:b/>
          <w:color w:val="000000"/>
        </w:rPr>
        <w:t xml:space="preserve"> de estudios de riesgo:</w:t>
      </w:r>
    </w:p>
    <w:p w:rsidR="000B4FD2" w:rsidRPr="000B4FD2" w:rsidRDefault="000B4FD2"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p>
    <w:p w:rsidR="000B4FD2" w:rsidRPr="000B4FD2" w:rsidRDefault="000B4FD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0B4FD2">
        <w:rPr>
          <w:rFonts w:ascii="Palatino Linotype" w:eastAsia="Palatino Linotype" w:hAnsi="Palatino Linotype" w:cs="Palatino Linotype"/>
          <w:color w:val="000000"/>
        </w:rPr>
        <w:t>El artículo 2° N° 5 de la Ley N° 20.234, exige la presentación de un estudio de riesgo, en circunstancias que dicha exigencia sólo encarece y retrasa el proceso de regularización.</w:t>
      </w:r>
    </w:p>
    <w:p w:rsidR="000B4FD2" w:rsidRPr="000B4FD2" w:rsidRDefault="000B4FD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0126B2" w:rsidRDefault="000126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0B4FD2" w:rsidRDefault="000B4FD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0B4FD2">
        <w:rPr>
          <w:rFonts w:ascii="Palatino Linotype" w:eastAsia="Palatino Linotype" w:hAnsi="Palatino Linotype" w:cs="Palatino Linotype"/>
          <w:color w:val="000000"/>
        </w:rPr>
        <w:lastRenderedPageBreak/>
        <w:t>Se propone eliminar la exigencia de la presentación de estudios de riesgo,</w:t>
      </w:r>
      <w:r w:rsidR="00D647AC">
        <w:rPr>
          <w:rFonts w:ascii="Palatino Linotype" w:eastAsia="Palatino Linotype" w:hAnsi="Palatino Linotype" w:cs="Palatino Linotype"/>
          <w:color w:val="000000"/>
        </w:rPr>
        <w:t xml:space="preserve"> ya que, al momento de tramitar</w:t>
      </w:r>
      <w:r w:rsidRPr="000B4FD2">
        <w:rPr>
          <w:rFonts w:ascii="Palatino Linotype" w:eastAsia="Palatino Linotype" w:hAnsi="Palatino Linotype" w:cs="Palatino Linotype"/>
          <w:color w:val="000000"/>
        </w:rPr>
        <w:t>se la recepción definitiva, de todas formas, se deberá contar con obras de mitigación.</w:t>
      </w:r>
    </w:p>
    <w:p w:rsidR="00E23D5B" w:rsidRPr="000126B2" w:rsidRDefault="00E23D5B"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E23D5B"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3.- Reducción</w:t>
      </w:r>
      <w:r w:rsidR="00E23D5B" w:rsidRPr="00E23D5B">
        <w:rPr>
          <w:rFonts w:ascii="Palatino Linotype" w:eastAsia="Palatino Linotype" w:hAnsi="Palatino Linotype" w:cs="Palatino Linotype"/>
          <w:b/>
          <w:color w:val="000000"/>
        </w:rPr>
        <w:t xml:space="preserve"> de los porcentajes exigidos en relación a los residentes de los loteos y campamentos</w:t>
      </w:r>
      <w:r w:rsidR="00E23D5B">
        <w:rPr>
          <w:rFonts w:ascii="Palatino Linotype" w:eastAsia="Palatino Linotype" w:hAnsi="Palatino Linotype" w:cs="Palatino Linotype"/>
          <w:b/>
          <w:color w:val="000000"/>
        </w:rPr>
        <w:t>, para acogerse al procedimiento simplificado de la ley N° 20.234:</w:t>
      </w:r>
    </w:p>
    <w:p w:rsidR="00E23D5B" w:rsidRPr="000126B2" w:rsidRDefault="00E23D5B"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E23D5B" w:rsidRDefault="00E23D5B" w:rsidP="00976D17">
      <w:pP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2 N° 3</w:t>
      </w:r>
      <w:r w:rsidRPr="00E23D5B">
        <w:rPr>
          <w:rFonts w:ascii="Palatino Linotype" w:eastAsia="Palatino Linotype" w:hAnsi="Palatino Linotype" w:cs="Palatino Linotype"/>
          <w:color w:val="000000"/>
        </w:rPr>
        <w:t xml:space="preserve"> de la Ley N° 20.234</w:t>
      </w:r>
      <w:r>
        <w:rPr>
          <w:rFonts w:ascii="Palatino Linotype" w:eastAsia="Palatino Linotype" w:hAnsi="Palatino Linotype" w:cs="Palatino Linotype"/>
          <w:color w:val="000000"/>
        </w:rPr>
        <w:t>,</w:t>
      </w:r>
      <w:r w:rsidRPr="00E23D5B">
        <w:rPr>
          <w:rFonts w:ascii="Palatino Linotype" w:eastAsia="Palatino Linotype" w:hAnsi="Palatino Linotype" w:cs="Palatino Linotype"/>
          <w:color w:val="000000"/>
        </w:rPr>
        <w:t xml:space="preserve"> establece que</w:t>
      </w:r>
      <w:r>
        <w:rPr>
          <w:rFonts w:ascii="Palatino Linotype" w:eastAsia="Palatino Linotype" w:hAnsi="Palatino Linotype" w:cs="Palatino Linotype"/>
          <w:color w:val="000000"/>
        </w:rPr>
        <w:t xml:space="preserve"> </w:t>
      </w:r>
      <w:r w:rsidR="000126B2">
        <w:rPr>
          <w:rFonts w:ascii="Palatino Linotype" w:eastAsia="Palatino Linotype" w:hAnsi="Palatino Linotype" w:cs="Palatino Linotype"/>
          <w:color w:val="000000"/>
        </w:rPr>
        <w:t xml:space="preserve">para </w:t>
      </w:r>
      <w:r>
        <w:rPr>
          <w:rFonts w:ascii="Palatino Linotype" w:eastAsia="Palatino Linotype" w:hAnsi="Palatino Linotype" w:cs="Palatino Linotype"/>
          <w:color w:val="000000"/>
        </w:rPr>
        <w:t xml:space="preserve">acogerse al procedimiento simplificado de regularización, </w:t>
      </w:r>
      <w:r w:rsidR="000126B2">
        <w:rPr>
          <w:rFonts w:ascii="Palatino Linotype" w:eastAsia="Palatino Linotype" w:hAnsi="Palatino Linotype" w:cs="Palatino Linotype"/>
          <w:color w:val="000000"/>
        </w:rPr>
        <w:t xml:space="preserve">deben existir residentes </w:t>
      </w:r>
      <w:r>
        <w:rPr>
          <w:rFonts w:ascii="Palatino Linotype" w:eastAsia="Palatino Linotype" w:hAnsi="Palatino Linotype" w:cs="Palatino Linotype"/>
          <w:color w:val="000000"/>
        </w:rPr>
        <w:t xml:space="preserve">en más del 40% de los lotes resultantes del loteo, si </w:t>
      </w:r>
      <w:r w:rsidR="000126B2">
        <w:rPr>
          <w:rFonts w:ascii="Palatino Linotype" w:eastAsia="Palatino Linotype" w:hAnsi="Palatino Linotype" w:cs="Palatino Linotype"/>
          <w:color w:val="000000"/>
        </w:rPr>
        <w:t xml:space="preserve">éste </w:t>
      </w:r>
      <w:r>
        <w:rPr>
          <w:rFonts w:ascii="Palatino Linotype" w:eastAsia="Palatino Linotype" w:hAnsi="Palatino Linotype" w:cs="Palatino Linotype"/>
          <w:color w:val="000000"/>
        </w:rPr>
        <w:t>está ubicado dentro del radio urbano, o un 30 % en los demás casos.</w:t>
      </w:r>
      <w:r w:rsidR="008C6279">
        <w:rPr>
          <w:rFonts w:ascii="Palatino Linotype" w:eastAsia="Palatino Linotype" w:hAnsi="Palatino Linotype" w:cs="Palatino Linotype"/>
          <w:color w:val="000000"/>
        </w:rPr>
        <w:t xml:space="preserve"> Se propone reducir</w:t>
      </w:r>
      <w:r>
        <w:rPr>
          <w:rFonts w:ascii="Palatino Linotype" w:eastAsia="Palatino Linotype" w:hAnsi="Palatino Linotype" w:cs="Palatino Linotype"/>
          <w:color w:val="000000"/>
        </w:rPr>
        <w:t xml:space="preserve"> en 30 % </w:t>
      </w:r>
      <w:r w:rsidR="000126B2">
        <w:rPr>
          <w:rFonts w:ascii="Palatino Linotype" w:eastAsia="Palatino Linotype" w:hAnsi="Palatino Linotype" w:cs="Palatino Linotype"/>
          <w:color w:val="000000"/>
        </w:rPr>
        <w:t xml:space="preserve">el porcentaje de exigencia </w:t>
      </w:r>
      <w:r>
        <w:rPr>
          <w:rFonts w:ascii="Palatino Linotype" w:eastAsia="Palatino Linotype" w:hAnsi="Palatino Linotype" w:cs="Palatino Linotype"/>
          <w:color w:val="000000"/>
        </w:rPr>
        <w:t>para los loteos ubicados dentro del radio urbano y en 20 % en los demás casos.</w:t>
      </w:r>
    </w:p>
    <w:p w:rsidR="00E23D5B" w:rsidRPr="000126B2" w:rsidRDefault="00E23D5B" w:rsidP="00976D17">
      <w:pPr>
        <w:ind w:right="-138" w:firstLine="360"/>
        <w:jc w:val="both"/>
        <w:rPr>
          <w:rFonts w:ascii="Palatino Linotype" w:eastAsia="Palatino Linotype" w:hAnsi="Palatino Linotype" w:cs="Palatino Linotype"/>
          <w:color w:val="000000"/>
          <w:sz w:val="16"/>
          <w:szCs w:val="16"/>
        </w:rPr>
      </w:pPr>
    </w:p>
    <w:p w:rsidR="00E23D5B" w:rsidRDefault="00632948" w:rsidP="00976D17">
      <w:pPr>
        <w:ind w:right="-138" w:firstLine="360"/>
        <w:rPr>
          <w:rFonts w:ascii="Palatino Linotype" w:eastAsia="Palatino Linotype" w:hAnsi="Palatino Linotype" w:cs="Palatino Linotype"/>
          <w:b/>
          <w:color w:val="000000"/>
        </w:rPr>
      </w:pPr>
      <w:r w:rsidRPr="00632948">
        <w:rPr>
          <w:rFonts w:ascii="Palatino Linotype" w:eastAsia="Palatino Linotype" w:hAnsi="Palatino Linotype" w:cs="Palatino Linotype"/>
          <w:b/>
          <w:color w:val="000000"/>
        </w:rPr>
        <w:t>4.- Reducción de los plazos para efectuar la</w:t>
      </w:r>
      <w:r w:rsidR="00E23D5B" w:rsidRPr="00632948">
        <w:rPr>
          <w:rFonts w:ascii="Palatino Linotype" w:eastAsia="Palatino Linotype" w:hAnsi="Palatino Linotype" w:cs="Palatino Linotype"/>
          <w:b/>
          <w:color w:val="000000"/>
        </w:rPr>
        <w:t xml:space="preserve"> tasación</w:t>
      </w:r>
      <w:r w:rsidRPr="00632948">
        <w:rPr>
          <w:rFonts w:ascii="Palatino Linotype" w:eastAsia="Palatino Linotype" w:hAnsi="Palatino Linotype" w:cs="Palatino Linotype"/>
          <w:b/>
          <w:color w:val="000000"/>
        </w:rPr>
        <w:t xml:space="preserve"> de las viviendas</w:t>
      </w:r>
      <w:r>
        <w:rPr>
          <w:rFonts w:ascii="Palatino Linotype" w:eastAsia="Palatino Linotype" w:hAnsi="Palatino Linotype" w:cs="Palatino Linotype"/>
          <w:b/>
          <w:color w:val="000000"/>
        </w:rPr>
        <w:t>:</w:t>
      </w:r>
    </w:p>
    <w:p w:rsidR="00632948" w:rsidRPr="000126B2" w:rsidRDefault="00632948" w:rsidP="00976D17">
      <w:pPr>
        <w:ind w:right="-138" w:firstLine="360"/>
        <w:rPr>
          <w:rFonts w:ascii="Palatino Linotype" w:eastAsia="Palatino Linotype" w:hAnsi="Palatino Linotype" w:cs="Palatino Linotype"/>
          <w:b/>
          <w:color w:val="000000"/>
          <w:sz w:val="16"/>
          <w:szCs w:val="16"/>
        </w:rPr>
      </w:pPr>
    </w:p>
    <w:p w:rsidR="00E23D5B" w:rsidRDefault="00632948" w:rsidP="00976D17">
      <w:pPr>
        <w:ind w:right="-138" w:firstLine="360"/>
        <w:jc w:val="both"/>
        <w:rPr>
          <w:rFonts w:ascii="Palatino Linotype" w:eastAsia="Palatino Linotype" w:hAnsi="Palatino Linotype" w:cs="Palatino Linotype"/>
          <w:color w:val="000000"/>
        </w:rPr>
      </w:pPr>
      <w:r w:rsidRPr="00BF2D94">
        <w:rPr>
          <w:rFonts w:ascii="Palatino Linotype" w:eastAsia="Palatino Linotype" w:hAnsi="Palatino Linotype" w:cs="Palatino Linotype"/>
          <w:color w:val="000000"/>
        </w:rPr>
        <w:t xml:space="preserve">El artículo 2 N° 4 de la Ley N° 20.234 </w:t>
      </w:r>
      <w:r w:rsidR="00BF2D94">
        <w:rPr>
          <w:rFonts w:ascii="Palatino Linotype" w:eastAsia="Palatino Linotype" w:hAnsi="Palatino Linotype" w:cs="Palatino Linotype"/>
          <w:color w:val="000000"/>
        </w:rPr>
        <w:t>establece que las viviendas existentes en el loteo deben tener una tasación máxima de 2.000 unidades de fomento en promedio, calculada conforme a la tabla de costos unitarios por metro cuadrado de construcción fijada por el Ministerio de Vivienda y Urbanismo</w:t>
      </w:r>
      <w:r w:rsidR="008C6279">
        <w:rPr>
          <w:rFonts w:ascii="Palatino Linotype" w:eastAsia="Palatino Linotype" w:hAnsi="Palatino Linotype" w:cs="Palatino Linotype"/>
          <w:color w:val="000000"/>
        </w:rPr>
        <w:t>, señalando, más adelante, que dicha tasación debe ser efectuada por la Dirección de Obras Municipales en el plazo de sesenta días contados desde la solicitud respectiva tratándose de loteos de inmuebles urbanos, y de noventa días en el caso de inmuebles rurales. Se propone reducir dicho</w:t>
      </w:r>
      <w:r w:rsidR="00611264">
        <w:rPr>
          <w:rFonts w:ascii="Palatino Linotype" w:eastAsia="Palatino Linotype" w:hAnsi="Palatino Linotype" w:cs="Palatino Linotype"/>
          <w:color w:val="000000"/>
        </w:rPr>
        <w:t>s</w:t>
      </w:r>
      <w:r w:rsidR="008C6279">
        <w:rPr>
          <w:rFonts w:ascii="Palatino Linotype" w:eastAsia="Palatino Linotype" w:hAnsi="Palatino Linotype" w:cs="Palatino Linotype"/>
          <w:color w:val="000000"/>
        </w:rPr>
        <w:t xml:space="preserve"> plazo</w:t>
      </w:r>
      <w:r w:rsidR="00611264">
        <w:rPr>
          <w:rFonts w:ascii="Palatino Linotype" w:eastAsia="Palatino Linotype" w:hAnsi="Palatino Linotype" w:cs="Palatino Linotype"/>
          <w:color w:val="000000"/>
        </w:rPr>
        <w:t>s,</w:t>
      </w:r>
      <w:r w:rsidR="008C6279">
        <w:rPr>
          <w:rFonts w:ascii="Palatino Linotype" w:eastAsia="Palatino Linotype" w:hAnsi="Palatino Linotype" w:cs="Palatino Linotype"/>
          <w:color w:val="000000"/>
        </w:rPr>
        <w:t xml:space="preserve"> en cuarenta y cinco días, tratándose inmuebl</w:t>
      </w:r>
      <w:r w:rsidR="00611264">
        <w:rPr>
          <w:rFonts w:ascii="Palatino Linotype" w:eastAsia="Palatino Linotype" w:hAnsi="Palatino Linotype" w:cs="Palatino Linotype"/>
          <w:color w:val="000000"/>
        </w:rPr>
        <w:t xml:space="preserve">es urbanos, y en sesenta días, </w:t>
      </w:r>
      <w:r w:rsidR="008C6279">
        <w:rPr>
          <w:rFonts w:ascii="Palatino Linotype" w:eastAsia="Palatino Linotype" w:hAnsi="Palatino Linotype" w:cs="Palatino Linotype"/>
          <w:color w:val="000000"/>
        </w:rPr>
        <w:t>en el caso de inmuebles rurales.</w:t>
      </w:r>
      <w:r w:rsidR="00E23D5B">
        <w:rPr>
          <w:rFonts w:ascii="Palatino Linotype" w:eastAsia="Palatino Linotype" w:hAnsi="Palatino Linotype" w:cs="Palatino Linotype"/>
          <w:color w:val="000000"/>
        </w:rPr>
        <w:t xml:space="preserve"> </w:t>
      </w:r>
    </w:p>
    <w:p w:rsidR="007C51D0" w:rsidRPr="000126B2" w:rsidRDefault="007C51D0"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7C51D0"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5</w:t>
      </w:r>
      <w:r w:rsidR="007C51D0" w:rsidRPr="007C51D0">
        <w:rPr>
          <w:rFonts w:ascii="Palatino Linotype" w:eastAsia="Palatino Linotype" w:hAnsi="Palatino Linotype" w:cs="Palatino Linotype"/>
          <w:b/>
          <w:color w:val="000000"/>
        </w:rPr>
        <w:t>.- Rebaja del porcentaje de interesados que deben suscribir solicitud de regulariz</w:t>
      </w:r>
      <w:r w:rsidR="007C51D0">
        <w:rPr>
          <w:rFonts w:ascii="Palatino Linotype" w:eastAsia="Palatino Linotype" w:hAnsi="Palatino Linotype" w:cs="Palatino Linotype"/>
          <w:b/>
          <w:color w:val="000000"/>
        </w:rPr>
        <w:t>a</w:t>
      </w:r>
      <w:r w:rsidR="007C51D0" w:rsidRPr="007C51D0">
        <w:rPr>
          <w:rFonts w:ascii="Palatino Linotype" w:eastAsia="Palatino Linotype" w:hAnsi="Palatino Linotype" w:cs="Palatino Linotype"/>
          <w:b/>
          <w:color w:val="000000"/>
        </w:rPr>
        <w:t>ción</w:t>
      </w:r>
      <w:r w:rsidR="007C51D0">
        <w:rPr>
          <w:rFonts w:ascii="Palatino Linotype" w:eastAsia="Palatino Linotype" w:hAnsi="Palatino Linotype" w:cs="Palatino Linotype"/>
          <w:b/>
          <w:color w:val="000000"/>
        </w:rPr>
        <w:t>:</w:t>
      </w:r>
    </w:p>
    <w:p w:rsidR="007C51D0" w:rsidRPr="000126B2" w:rsidRDefault="007C51D0"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7C51D0" w:rsidRDefault="007C51D0"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B02EF5">
        <w:rPr>
          <w:rFonts w:ascii="Palatino Linotype" w:eastAsia="Palatino Linotype" w:hAnsi="Palatino Linotype" w:cs="Palatino Linotype"/>
          <w:color w:val="000000"/>
        </w:rPr>
        <w:t xml:space="preserve">El artículo 3 </w:t>
      </w:r>
      <w:r w:rsidR="00A90479">
        <w:rPr>
          <w:rFonts w:ascii="Palatino Linotype" w:eastAsia="Palatino Linotype" w:hAnsi="Palatino Linotype" w:cs="Palatino Linotype"/>
          <w:color w:val="000000"/>
        </w:rPr>
        <w:t xml:space="preserve">letra a) </w:t>
      </w:r>
      <w:r w:rsidRPr="00B02EF5">
        <w:rPr>
          <w:rFonts w:ascii="Palatino Linotype" w:eastAsia="Palatino Linotype" w:hAnsi="Palatino Linotype" w:cs="Palatino Linotype"/>
          <w:color w:val="000000"/>
        </w:rPr>
        <w:t xml:space="preserve">de la Ley N° 20.234 exige que la solicitud de regularización que presenten los particulares debe ser suscrita por los interesados que </w:t>
      </w:r>
      <w:r w:rsidR="00B02EF5" w:rsidRPr="00B02EF5">
        <w:rPr>
          <w:rFonts w:ascii="Palatino Linotype" w:eastAsia="Palatino Linotype" w:hAnsi="Palatino Linotype" w:cs="Palatino Linotype"/>
          <w:color w:val="000000"/>
        </w:rPr>
        <w:t>en su conjunto representen, al menos, el 20% de los derechos en el loteo irregular.</w:t>
      </w:r>
      <w:r w:rsidR="000808A0">
        <w:rPr>
          <w:rFonts w:ascii="Palatino Linotype" w:eastAsia="Palatino Linotype" w:hAnsi="Palatino Linotype" w:cs="Palatino Linotype"/>
          <w:color w:val="000000"/>
        </w:rPr>
        <w:t xml:space="preserve"> Se propone rebajar dicho porcentaje a un 15 %, para facilitar la presentación de la solicitud.</w:t>
      </w:r>
    </w:p>
    <w:p w:rsidR="000808A0" w:rsidRPr="000126B2" w:rsidRDefault="000808A0"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0808A0" w:rsidRPr="000808A0"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6</w:t>
      </w:r>
      <w:r w:rsidR="000808A0" w:rsidRPr="000808A0">
        <w:rPr>
          <w:rFonts w:ascii="Palatino Linotype" w:eastAsia="Palatino Linotype" w:hAnsi="Palatino Linotype" w:cs="Palatino Linotype"/>
          <w:b/>
          <w:color w:val="000000"/>
        </w:rPr>
        <w:t>.- Rebaja del plazo de tenencia material para ser considerado interesado:</w:t>
      </w:r>
    </w:p>
    <w:p w:rsidR="000808A0" w:rsidRPr="000126B2" w:rsidRDefault="000808A0"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7C51D0" w:rsidRDefault="000808A0"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Pr="000808A0">
        <w:rPr>
          <w:rFonts w:ascii="Palatino Linotype" w:eastAsia="Palatino Linotype" w:hAnsi="Palatino Linotype" w:cs="Palatino Linotype"/>
          <w:color w:val="000000"/>
        </w:rPr>
        <w:t xml:space="preserve">El artículo 3 </w:t>
      </w:r>
      <w:r w:rsidR="00A90479">
        <w:rPr>
          <w:rFonts w:ascii="Palatino Linotype" w:eastAsia="Palatino Linotype" w:hAnsi="Palatino Linotype" w:cs="Palatino Linotype"/>
          <w:color w:val="000000"/>
        </w:rPr>
        <w:t xml:space="preserve">letra a) </w:t>
      </w:r>
      <w:r w:rsidRPr="000808A0">
        <w:rPr>
          <w:rFonts w:ascii="Palatino Linotype" w:eastAsia="Palatino Linotype" w:hAnsi="Palatino Linotype" w:cs="Palatino Linotype"/>
          <w:color w:val="000000"/>
        </w:rPr>
        <w:t>de la Ley N° 20.234</w:t>
      </w:r>
      <w:r>
        <w:rPr>
          <w:rFonts w:ascii="Palatino Linotype" w:eastAsia="Palatino Linotype" w:hAnsi="Palatino Linotype" w:cs="Palatino Linotype"/>
          <w:color w:val="000000"/>
        </w:rPr>
        <w:t xml:space="preserve"> establece que para efectos de presentar la solicitud de regularización se considerará interesados a las personas que acrediten la tenencia material de los respectivos</w:t>
      </w:r>
      <w:r w:rsidR="003A76D5">
        <w:rPr>
          <w:rFonts w:ascii="Palatino Linotype" w:eastAsia="Palatino Linotype" w:hAnsi="Palatino Linotype" w:cs="Palatino Linotype"/>
          <w:color w:val="000000"/>
        </w:rPr>
        <w:t xml:space="preserve"> sitios al 31 de diciembre de 2006. </w:t>
      </w:r>
      <w:r w:rsidR="00734DB2">
        <w:rPr>
          <w:rFonts w:ascii="Palatino Linotype" w:eastAsia="Palatino Linotype" w:hAnsi="Palatino Linotype" w:cs="Palatino Linotype"/>
          <w:color w:val="000000"/>
        </w:rPr>
        <w:t xml:space="preserve">Se propone rebajar dicha exigencia, en el sentido de considerar interesados a las personas que acrediten la tenencia material de sus lotes al 31 de diciembre de 2014, es decir, un </w:t>
      </w:r>
      <w:r w:rsidR="000126B2">
        <w:rPr>
          <w:rFonts w:ascii="Palatino Linotype" w:eastAsia="Palatino Linotype" w:hAnsi="Palatino Linotype" w:cs="Palatino Linotype"/>
          <w:color w:val="000000"/>
        </w:rPr>
        <w:t>plazo de aproximadamente 5 años, con el objeto de facilitar el cumplimiento de este requisito.</w:t>
      </w:r>
    </w:p>
    <w:p w:rsidR="007C51D0" w:rsidRPr="000126B2" w:rsidRDefault="007C51D0" w:rsidP="00976D17">
      <w:pPr>
        <w:pBdr>
          <w:top w:val="nil"/>
          <w:left w:val="nil"/>
          <w:bottom w:val="nil"/>
          <w:right w:val="nil"/>
          <w:between w:val="nil"/>
        </w:pBdr>
        <w:ind w:right="-138"/>
        <w:jc w:val="both"/>
        <w:rPr>
          <w:rFonts w:ascii="Palatino Linotype" w:eastAsia="Palatino Linotype" w:hAnsi="Palatino Linotype" w:cs="Palatino Linotype"/>
          <w:color w:val="000000"/>
          <w:sz w:val="16"/>
          <w:szCs w:val="16"/>
        </w:rPr>
      </w:pPr>
    </w:p>
    <w:p w:rsidR="008C07D2" w:rsidRPr="008C07D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7</w:t>
      </w:r>
      <w:r w:rsidR="008C07D2" w:rsidRPr="008C07D2">
        <w:rPr>
          <w:rFonts w:ascii="Palatino Linotype" w:eastAsia="Palatino Linotype" w:hAnsi="Palatino Linotype" w:cs="Palatino Linotype"/>
          <w:b/>
          <w:color w:val="000000"/>
        </w:rPr>
        <w:t>.- Regulación de las observaciones y respuestas en el procedimiento de recepción de los loteos y campamentos:</w:t>
      </w:r>
    </w:p>
    <w:p w:rsidR="008C07D2" w:rsidRPr="000126B2" w:rsidRDefault="008C07D2"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8C07D2" w:rsidRDefault="008C07D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8C07D2">
        <w:rPr>
          <w:rFonts w:ascii="Palatino Linotype" w:eastAsia="Palatino Linotype" w:hAnsi="Palatino Linotype" w:cs="Palatino Linotype"/>
          <w:color w:val="000000"/>
        </w:rPr>
        <w:t xml:space="preserve">El actual </w:t>
      </w:r>
      <w:r w:rsidR="00CF1BB1">
        <w:rPr>
          <w:rFonts w:ascii="Palatino Linotype" w:eastAsia="Palatino Linotype" w:hAnsi="Palatino Linotype" w:cs="Palatino Linotype"/>
          <w:color w:val="000000"/>
        </w:rPr>
        <w:t xml:space="preserve">inciso 1° del </w:t>
      </w:r>
      <w:r w:rsidRPr="008C07D2">
        <w:rPr>
          <w:rFonts w:ascii="Palatino Linotype" w:eastAsia="Palatino Linotype" w:hAnsi="Palatino Linotype" w:cs="Palatino Linotype"/>
          <w:color w:val="000000"/>
        </w:rPr>
        <w:t>artículo 4° de la Ley N° 20.234 sólo se refiere a la posibilidad de aceptación o rechazo de la recepción de un loteo o campamento por parte de la Dirección de Obras Municipales, en circunstancias que, en la práctica, los Directores de Obras han incorporado al procedimiento la formulación de observaciones y respuestas.</w:t>
      </w:r>
      <w:r w:rsidR="000126B2">
        <w:rPr>
          <w:rFonts w:ascii="Palatino Linotype" w:eastAsia="Palatino Linotype" w:hAnsi="Palatino Linotype" w:cs="Palatino Linotype"/>
          <w:color w:val="000000"/>
        </w:rPr>
        <w:t xml:space="preserve"> S</w:t>
      </w:r>
      <w:r w:rsidRPr="008C07D2">
        <w:rPr>
          <w:rFonts w:ascii="Palatino Linotype" w:eastAsia="Palatino Linotype" w:hAnsi="Palatino Linotype" w:cs="Palatino Linotype"/>
          <w:color w:val="000000"/>
        </w:rPr>
        <w:t>e propone regular legalmente dichas instancias</w:t>
      </w:r>
      <w:r w:rsidR="000126B2">
        <w:rPr>
          <w:rFonts w:ascii="Palatino Linotype" w:eastAsia="Palatino Linotype" w:hAnsi="Palatino Linotype" w:cs="Palatino Linotype"/>
          <w:color w:val="000000"/>
        </w:rPr>
        <w:t>, con el objeto de uniformar los criterios de la autoridad administrativa en esta materia</w:t>
      </w:r>
      <w:r w:rsidRPr="008C07D2">
        <w:rPr>
          <w:rFonts w:ascii="Palatino Linotype" w:eastAsia="Palatino Linotype" w:hAnsi="Palatino Linotype" w:cs="Palatino Linotype"/>
          <w:color w:val="000000"/>
        </w:rPr>
        <w:t>.</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lastRenderedPageBreak/>
        <w:t>8</w:t>
      </w:r>
      <w:r w:rsidR="00FF3AC7">
        <w:rPr>
          <w:rFonts w:ascii="Palatino Linotype" w:eastAsia="Palatino Linotype" w:hAnsi="Palatino Linotype" w:cs="Palatino Linotype"/>
          <w:b/>
          <w:color w:val="000000"/>
        </w:rPr>
        <w:t>.- Regularizar</w:t>
      </w:r>
      <w:r w:rsidR="001442B2" w:rsidRPr="001442B2">
        <w:rPr>
          <w:rFonts w:ascii="Palatino Linotype" w:eastAsia="Palatino Linotype" w:hAnsi="Palatino Linotype" w:cs="Palatino Linotype"/>
          <w:b/>
          <w:color w:val="000000"/>
        </w:rPr>
        <w:t xml:space="preserve"> edificaciones existente</w:t>
      </w:r>
      <w:r w:rsidR="00FF3AC7">
        <w:rPr>
          <w:rFonts w:ascii="Palatino Linotype" w:eastAsia="Palatino Linotype" w:hAnsi="Palatino Linotype" w:cs="Palatino Linotype"/>
          <w:b/>
          <w:color w:val="000000"/>
        </w:rPr>
        <w:t>s o viviendas nuevas realizadas</w:t>
      </w:r>
      <w:r w:rsidR="001442B2" w:rsidRPr="001442B2">
        <w:rPr>
          <w:rFonts w:ascii="Palatino Linotype" w:eastAsia="Palatino Linotype" w:hAnsi="Palatino Linotype" w:cs="Palatino Linotype"/>
          <w:b/>
          <w:color w:val="000000"/>
        </w:rPr>
        <w:t xml:space="preserve"> con subsidios </w:t>
      </w:r>
      <w:r w:rsidR="00FF3AC7">
        <w:rPr>
          <w:rFonts w:ascii="Palatino Linotype" w:eastAsia="Palatino Linotype" w:hAnsi="Palatino Linotype" w:cs="Palatino Linotype"/>
          <w:b/>
          <w:color w:val="000000"/>
        </w:rPr>
        <w:t xml:space="preserve">del </w:t>
      </w:r>
      <w:r w:rsidR="001442B2" w:rsidRPr="001442B2">
        <w:rPr>
          <w:rFonts w:ascii="Palatino Linotype" w:eastAsia="Palatino Linotype" w:hAnsi="Palatino Linotype" w:cs="Palatino Linotype"/>
          <w:b/>
          <w:color w:val="000000"/>
        </w:rPr>
        <w:t>Minvu:</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CF1BB1"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1442B2">
        <w:rPr>
          <w:rFonts w:ascii="Palatino Linotype" w:eastAsia="Palatino Linotype" w:hAnsi="Palatino Linotype" w:cs="Palatino Linotype"/>
          <w:color w:val="000000"/>
        </w:rPr>
        <w:t xml:space="preserve">En la actualidad la DDU 314 numeral 6.3. norma la regularización de edificaciones existentes. Sobre este punto, se propone </w:t>
      </w:r>
      <w:r w:rsidR="00CF1BB1">
        <w:rPr>
          <w:rFonts w:ascii="Palatino Linotype" w:eastAsia="Palatino Linotype" w:hAnsi="Palatino Linotype" w:cs="Palatino Linotype"/>
          <w:color w:val="000000"/>
        </w:rPr>
        <w:t xml:space="preserve">introducir en el inciso 4° del artículo 4° </w:t>
      </w:r>
      <w:r w:rsidR="00B01E47">
        <w:rPr>
          <w:rFonts w:ascii="Palatino Linotype" w:eastAsia="Palatino Linotype" w:hAnsi="Palatino Linotype" w:cs="Palatino Linotype"/>
          <w:color w:val="000000"/>
        </w:rPr>
        <w:t xml:space="preserve">de la Ley N° 20.234 </w:t>
      </w:r>
      <w:r w:rsidR="00CF1BB1">
        <w:rPr>
          <w:rFonts w:ascii="Palatino Linotype" w:eastAsia="Palatino Linotype" w:hAnsi="Palatino Linotype" w:cs="Palatino Linotype"/>
          <w:color w:val="000000"/>
        </w:rPr>
        <w:t xml:space="preserve">la posibilidad que la Secretaría Regional Ministerial pueda </w:t>
      </w:r>
      <w:r w:rsidRPr="001442B2">
        <w:rPr>
          <w:rFonts w:ascii="Palatino Linotype" w:eastAsia="Palatino Linotype" w:hAnsi="Palatino Linotype" w:cs="Palatino Linotype"/>
          <w:color w:val="000000"/>
        </w:rPr>
        <w:t>exi</w:t>
      </w:r>
      <w:r w:rsidR="00FF3AC7">
        <w:rPr>
          <w:rFonts w:ascii="Palatino Linotype" w:eastAsia="Palatino Linotype" w:hAnsi="Palatino Linotype" w:cs="Palatino Linotype"/>
          <w:color w:val="000000"/>
        </w:rPr>
        <w:t xml:space="preserve">mir del cumplimiento de </w:t>
      </w:r>
      <w:r w:rsidRPr="001442B2">
        <w:rPr>
          <w:rFonts w:ascii="Palatino Linotype" w:eastAsia="Palatino Linotype" w:hAnsi="Palatino Linotype" w:cs="Palatino Linotype"/>
          <w:color w:val="000000"/>
        </w:rPr>
        <w:t xml:space="preserve">requisitos urbanísticos, </w:t>
      </w:r>
      <w:r w:rsidR="00FF3AC7">
        <w:rPr>
          <w:rFonts w:ascii="Palatino Linotype" w:eastAsia="Palatino Linotype" w:hAnsi="Palatino Linotype" w:cs="Palatino Linotype"/>
          <w:color w:val="000000"/>
        </w:rPr>
        <w:t>en caso que, por las características</w:t>
      </w:r>
      <w:r w:rsidR="004B7EB2">
        <w:rPr>
          <w:rFonts w:ascii="Palatino Linotype" w:eastAsia="Palatino Linotype" w:hAnsi="Palatino Linotype" w:cs="Palatino Linotype"/>
          <w:color w:val="000000"/>
        </w:rPr>
        <w:t xml:space="preserve"> </w:t>
      </w:r>
      <w:r w:rsidRPr="001442B2">
        <w:rPr>
          <w:rFonts w:ascii="Palatino Linotype" w:eastAsia="Palatino Linotype" w:hAnsi="Palatino Linotype" w:cs="Palatino Linotype"/>
          <w:color w:val="000000"/>
        </w:rPr>
        <w:t xml:space="preserve">del lote, </w:t>
      </w:r>
      <w:r w:rsidR="00CF1BB1">
        <w:rPr>
          <w:rFonts w:ascii="Palatino Linotype" w:eastAsia="Palatino Linotype" w:hAnsi="Palatino Linotype" w:cs="Palatino Linotype"/>
          <w:color w:val="000000"/>
        </w:rPr>
        <w:t>éstos no puedan ser aplicado</w:t>
      </w:r>
      <w:r w:rsidRPr="001442B2">
        <w:rPr>
          <w:rFonts w:ascii="Palatino Linotype" w:eastAsia="Palatino Linotype" w:hAnsi="Palatino Linotype" w:cs="Palatino Linotype"/>
          <w:color w:val="000000"/>
        </w:rPr>
        <w:t>s.</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9</w:t>
      </w:r>
      <w:r w:rsidR="001442B2" w:rsidRPr="001442B2">
        <w:rPr>
          <w:rFonts w:ascii="Palatino Linotype" w:eastAsia="Palatino Linotype" w:hAnsi="Palatino Linotype" w:cs="Palatino Linotype"/>
          <w:b/>
          <w:color w:val="000000"/>
        </w:rPr>
        <w:t xml:space="preserve">.- Posibilidad de realizar modificaciones al proyecto de loteo antes del trámite de recepción definitiva: </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1442B2">
        <w:rPr>
          <w:rFonts w:ascii="Palatino Linotype" w:eastAsia="Palatino Linotype" w:hAnsi="Palatino Linotype" w:cs="Palatino Linotype"/>
          <w:color w:val="000000"/>
        </w:rPr>
        <w:t xml:space="preserve">Dada la posibilidad de que un proyecto de loteo con recepción provisoria requiera de modificaciones, se propone </w:t>
      </w:r>
      <w:r w:rsidR="00073DB1">
        <w:rPr>
          <w:rFonts w:ascii="Palatino Linotype" w:eastAsia="Palatino Linotype" w:hAnsi="Palatino Linotype" w:cs="Palatino Linotype"/>
          <w:color w:val="000000"/>
        </w:rPr>
        <w:t xml:space="preserve">modificar el inciso </w:t>
      </w:r>
      <w:r w:rsidR="00B01E47">
        <w:rPr>
          <w:rFonts w:ascii="Palatino Linotype" w:eastAsia="Palatino Linotype" w:hAnsi="Palatino Linotype" w:cs="Palatino Linotype"/>
          <w:color w:val="000000"/>
        </w:rPr>
        <w:t xml:space="preserve">6° del artículo 4° de la Ley N° 20.234, de manera de </w:t>
      </w:r>
      <w:r w:rsidRPr="001442B2">
        <w:rPr>
          <w:rFonts w:ascii="Palatino Linotype" w:eastAsia="Palatino Linotype" w:hAnsi="Palatino Linotype" w:cs="Palatino Linotype"/>
          <w:color w:val="000000"/>
        </w:rPr>
        <w:t>permitir presentar dichas modificaciones al proyecto, antes del trámite de recepción definitiva.</w:t>
      </w:r>
    </w:p>
    <w:p w:rsidR="00D9047A" w:rsidRPr="000126B2" w:rsidRDefault="00D9047A"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D9047A" w:rsidRPr="00D9047A"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10</w:t>
      </w:r>
      <w:r w:rsidR="00D9047A" w:rsidRPr="00D9047A">
        <w:rPr>
          <w:rFonts w:ascii="Palatino Linotype" w:eastAsia="Palatino Linotype" w:hAnsi="Palatino Linotype" w:cs="Palatino Linotype"/>
          <w:b/>
          <w:color w:val="000000"/>
        </w:rPr>
        <w:t>.- Introducción del silencio administrativo positivo, en caso de falta de pronunciamiento del Director de Obras.</w:t>
      </w:r>
    </w:p>
    <w:p w:rsidR="00D9047A" w:rsidRPr="000126B2" w:rsidRDefault="00D9047A"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D9047A" w:rsidRDefault="00181F8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Los</w:t>
      </w:r>
      <w:r w:rsidR="00D9047A" w:rsidRPr="00D9047A">
        <w:rPr>
          <w:rFonts w:ascii="Palatino Linotype" w:eastAsia="Palatino Linotype" w:hAnsi="Palatino Linotype" w:cs="Palatino Linotype"/>
          <w:color w:val="000000"/>
        </w:rPr>
        <w:t xml:space="preserve"> inciso</w:t>
      </w:r>
      <w:r>
        <w:rPr>
          <w:rFonts w:ascii="Palatino Linotype" w:eastAsia="Palatino Linotype" w:hAnsi="Palatino Linotype" w:cs="Palatino Linotype"/>
          <w:color w:val="000000"/>
        </w:rPr>
        <w:t>s 5</w:t>
      </w:r>
      <w:r w:rsidR="00D9047A" w:rsidRPr="00D9047A">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y 7° </w:t>
      </w:r>
      <w:r w:rsidR="00D9047A" w:rsidRPr="00D9047A">
        <w:rPr>
          <w:rFonts w:ascii="Palatino Linotype" w:eastAsia="Palatino Linotype" w:hAnsi="Palatino Linotype" w:cs="Palatino Linotype"/>
          <w:color w:val="000000"/>
        </w:rPr>
        <w:t>del artículo 4° de la Ley N° 20.234</w:t>
      </w:r>
      <w:r w:rsidR="00250C17">
        <w:rPr>
          <w:rFonts w:ascii="Palatino Linotype" w:eastAsia="Palatino Linotype" w:hAnsi="Palatino Linotype" w:cs="Palatino Linotype"/>
          <w:color w:val="000000"/>
        </w:rPr>
        <w:t>, establece</w:t>
      </w:r>
      <w:r>
        <w:rPr>
          <w:rFonts w:ascii="Palatino Linotype" w:eastAsia="Palatino Linotype" w:hAnsi="Palatino Linotype" w:cs="Palatino Linotype"/>
          <w:color w:val="000000"/>
        </w:rPr>
        <w:t>n</w:t>
      </w:r>
      <w:r w:rsidR="00250C17">
        <w:rPr>
          <w:rFonts w:ascii="Palatino Linotype" w:eastAsia="Palatino Linotype" w:hAnsi="Palatino Linotype" w:cs="Palatino Linotype"/>
          <w:color w:val="000000"/>
        </w:rPr>
        <w:t xml:space="preserve"> que, si expirado el plazo fijado para otorgar la recepción provisoria</w:t>
      </w:r>
      <w:r>
        <w:rPr>
          <w:rFonts w:ascii="Palatino Linotype" w:eastAsia="Palatino Linotype" w:hAnsi="Palatino Linotype" w:cs="Palatino Linotype"/>
          <w:color w:val="000000"/>
        </w:rPr>
        <w:t xml:space="preserve"> o la recepción definitiva no hubiere pronunciamiento por escrito del Director de Obras Municipales o éstas hubieren sido denegadas, el interesado podrá reclamar ante la Secretaría Regional correspondiente del Ministerio de Vivienda y Urbanismo. Se propone</w:t>
      </w:r>
      <w:r w:rsidR="009B7DAD">
        <w:rPr>
          <w:rFonts w:ascii="Palatino Linotype" w:eastAsia="Palatino Linotype" w:hAnsi="Palatino Linotype" w:cs="Palatino Linotype"/>
          <w:color w:val="000000"/>
        </w:rPr>
        <w:t xml:space="preserve"> modificar los incisos 5° y 7° del artículo 4°, en el sentido de establecer que </w:t>
      </w:r>
      <w:r w:rsidR="009B7DAD" w:rsidRPr="009B7DAD">
        <w:rPr>
          <w:rFonts w:ascii="Palatino Linotype" w:eastAsia="Palatino Linotype" w:hAnsi="Palatino Linotype" w:cs="Palatino Linotype"/>
          <w:color w:val="000000"/>
        </w:rPr>
        <w:t>expirado el plazo fijado para otorgar la recepción provisoria o la recepción definitiva no hubiere pronunciamiento por escrito del Director de Obras Municipales</w:t>
      </w:r>
      <w:r w:rsidR="009B7DAD">
        <w:rPr>
          <w:rFonts w:ascii="Palatino Linotype" w:eastAsia="Palatino Linotype" w:hAnsi="Palatino Linotype" w:cs="Palatino Linotype"/>
          <w:color w:val="000000"/>
        </w:rPr>
        <w:t xml:space="preserve">, éstas se entenderán otorgadas. </w:t>
      </w:r>
    </w:p>
    <w:p w:rsidR="00073DB1" w:rsidRPr="000126B2" w:rsidRDefault="00073DB1"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073DB1" w:rsidRPr="00B01E47"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11</w:t>
      </w:r>
      <w:r w:rsidR="00073DB1" w:rsidRPr="00B01E47">
        <w:rPr>
          <w:rFonts w:ascii="Palatino Linotype" w:eastAsia="Palatino Linotype" w:hAnsi="Palatino Linotype" w:cs="Palatino Linotype"/>
          <w:b/>
          <w:color w:val="000000"/>
        </w:rPr>
        <w:t>.- Posibilidad de otorgar recepción definitiva en caso de pavimentación parcial, sujeto a ciertas condiciones.</w:t>
      </w:r>
    </w:p>
    <w:p w:rsidR="00073DB1" w:rsidRDefault="00073DB1"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073DB1" w:rsidRPr="001442B2" w:rsidRDefault="00073DB1"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4° inciso 8° de la Ley N° </w:t>
      </w:r>
      <w:r w:rsidR="00B01E47">
        <w:rPr>
          <w:rFonts w:ascii="Palatino Linotype" w:eastAsia="Palatino Linotype" w:hAnsi="Palatino Linotype" w:cs="Palatino Linotype"/>
          <w:color w:val="000000"/>
        </w:rPr>
        <w:t xml:space="preserve">20.234 señala que vencido el plazo de cinco años o su prórroga, en caso que se haya concedido, sin que se hubiere dado cumplimiento a las condiciones exigidas para otorgar la recepción definitiva, caducará por el solo ministerio de la ley la recepción provisoria, y se procederá a hacer efectiva la responsabilidad del </w:t>
      </w:r>
      <w:proofErr w:type="spellStart"/>
      <w:r w:rsidR="00B01E47">
        <w:rPr>
          <w:rFonts w:ascii="Palatino Linotype" w:eastAsia="Palatino Linotype" w:hAnsi="Palatino Linotype" w:cs="Palatino Linotype"/>
          <w:color w:val="000000"/>
        </w:rPr>
        <w:t>loteador</w:t>
      </w:r>
      <w:proofErr w:type="spellEnd"/>
      <w:r w:rsidR="00B01E47">
        <w:rPr>
          <w:rFonts w:ascii="Palatino Linotype" w:eastAsia="Palatino Linotype" w:hAnsi="Palatino Linotype" w:cs="Palatino Linotype"/>
          <w:color w:val="000000"/>
        </w:rPr>
        <w:t xml:space="preserve"> y del urbanizador, en conformidad a lo dispuesto en el artículo 138 de la Ley General de Urbanismo y Construcción. Se propone </w:t>
      </w:r>
      <w:r w:rsidR="00857252">
        <w:rPr>
          <w:rFonts w:ascii="Palatino Linotype" w:eastAsia="Palatino Linotype" w:hAnsi="Palatino Linotype" w:cs="Palatino Linotype"/>
          <w:color w:val="000000"/>
        </w:rPr>
        <w:t>una flexibilización de la norma, en el sentido de establecer que, en el caso que se haya cumplido con, al menos el 50% de la pavimentación del loteo, los Directores de Obras puedan otorgar la recepción definitiva, bajo la condición de que los interesados presenten un proyecto de pavimentación participativa</w:t>
      </w:r>
      <w:r w:rsidR="00D9047A">
        <w:rPr>
          <w:rFonts w:ascii="Palatino Linotype" w:eastAsia="Palatino Linotype" w:hAnsi="Palatino Linotype" w:cs="Palatino Linotype"/>
          <w:color w:val="000000"/>
        </w:rPr>
        <w:t>,</w:t>
      </w:r>
      <w:r w:rsidR="00857252">
        <w:rPr>
          <w:rFonts w:ascii="Palatino Linotype" w:eastAsia="Palatino Linotype" w:hAnsi="Palatino Linotype" w:cs="Palatino Linotype"/>
          <w:color w:val="000000"/>
        </w:rPr>
        <w:t xml:space="preserve"> aprobado por la Secretaría Regional Ministerial de </w:t>
      </w:r>
      <w:r w:rsidR="00D9047A">
        <w:rPr>
          <w:rFonts w:ascii="Palatino Linotype" w:eastAsia="Palatino Linotype" w:hAnsi="Palatino Linotype" w:cs="Palatino Linotype"/>
          <w:color w:val="000000"/>
        </w:rPr>
        <w:t>Vivienda y Urbanismo respectiva</w:t>
      </w:r>
      <w:r w:rsidR="00D9047A">
        <w:t>,</w:t>
      </w:r>
      <w:r w:rsidR="00D9047A" w:rsidRPr="00D9047A">
        <w:t xml:space="preserve"> </w:t>
      </w:r>
      <w:r w:rsidR="00D9047A" w:rsidRPr="00D9047A">
        <w:rPr>
          <w:rFonts w:ascii="Palatino Linotype" w:eastAsia="Palatino Linotype" w:hAnsi="Palatino Linotype" w:cs="Palatino Linotype"/>
          <w:color w:val="000000"/>
        </w:rPr>
        <w:t>destinado completar la pavimentación faltante</w:t>
      </w:r>
    </w:p>
    <w:p w:rsidR="00EC0B43" w:rsidRPr="000126B2"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EC0B43" w:rsidRPr="00EC0B43"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12</w:t>
      </w:r>
      <w:r w:rsidR="00EC0B43" w:rsidRPr="00EC0B43">
        <w:rPr>
          <w:rFonts w:ascii="Palatino Linotype" w:eastAsia="Palatino Linotype" w:hAnsi="Palatino Linotype" w:cs="Palatino Linotype"/>
          <w:b/>
          <w:color w:val="000000"/>
        </w:rPr>
        <w:t xml:space="preserve">.- </w:t>
      </w:r>
      <w:r w:rsidR="00B25583">
        <w:rPr>
          <w:rFonts w:ascii="Palatino Linotype" w:eastAsia="Palatino Linotype" w:hAnsi="Palatino Linotype" w:cs="Palatino Linotype"/>
          <w:b/>
          <w:color w:val="000000"/>
        </w:rPr>
        <w:t xml:space="preserve"> Condiciones para la c</w:t>
      </w:r>
      <w:r w:rsidR="00EC0B43" w:rsidRPr="00EC0B43">
        <w:rPr>
          <w:rFonts w:ascii="Palatino Linotype" w:eastAsia="Palatino Linotype" w:hAnsi="Palatino Linotype" w:cs="Palatino Linotype"/>
          <w:b/>
          <w:color w:val="000000"/>
        </w:rPr>
        <w:t>onstitución y</w:t>
      </w:r>
      <w:r w:rsidR="00EC0B43">
        <w:rPr>
          <w:rFonts w:ascii="Palatino Linotype" w:eastAsia="Palatino Linotype" w:hAnsi="Palatino Linotype" w:cs="Palatino Linotype"/>
          <w:b/>
          <w:color w:val="000000"/>
        </w:rPr>
        <w:t xml:space="preserve"> publicidad de las servidumbres:</w:t>
      </w:r>
    </w:p>
    <w:p w:rsidR="00EC0B43" w:rsidRPr="000126B2"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EC0B43"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 artículo 5° de la Ley N° 20.234 señala que</w:t>
      </w:r>
      <w:r w:rsidR="003714B0">
        <w:rPr>
          <w:rFonts w:ascii="Palatino Linotype" w:eastAsia="Palatino Linotype" w:hAnsi="Palatino Linotype" w:cs="Palatino Linotype"/>
          <w:color w:val="000000"/>
        </w:rPr>
        <w:t>,</w:t>
      </w:r>
      <w:r>
        <w:rPr>
          <w:rFonts w:ascii="Palatino Linotype" w:eastAsia="Palatino Linotype" w:hAnsi="Palatino Linotype" w:cs="Palatino Linotype"/>
          <w:color w:val="000000"/>
        </w:rPr>
        <w:t xml:space="preserve"> para asegurar el acceso a los servicios básicos, se entenderán constituidas las servidumbres necesarias en favor de los lotes que conforman el predio.</w:t>
      </w:r>
    </w:p>
    <w:p w:rsidR="00EC0B43" w:rsidRPr="000126B2"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EC0B43"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la práctica, ello genera una dificultad, ya que las E</w:t>
      </w:r>
      <w:r w:rsidR="00B25583">
        <w:rPr>
          <w:rFonts w:ascii="Palatino Linotype" w:eastAsia="Palatino Linotype" w:hAnsi="Palatino Linotype" w:cs="Palatino Linotype"/>
          <w:color w:val="000000"/>
        </w:rPr>
        <w:t>mpresas de Servicios Sanitarios solicitan la inscripción de las servidumbres</w:t>
      </w:r>
      <w:r>
        <w:rPr>
          <w:rFonts w:ascii="Palatino Linotype" w:eastAsia="Palatino Linotype" w:hAnsi="Palatino Linotype" w:cs="Palatino Linotype"/>
          <w:color w:val="000000"/>
        </w:rPr>
        <w:t xml:space="preserve"> para otorgar la aprobación de los proyectos sanitarios, pero los </w:t>
      </w:r>
      <w:r>
        <w:rPr>
          <w:rFonts w:ascii="Palatino Linotype" w:eastAsia="Palatino Linotype" w:hAnsi="Palatino Linotype" w:cs="Palatino Linotype"/>
          <w:color w:val="000000"/>
        </w:rPr>
        <w:lastRenderedPageBreak/>
        <w:t>Conservadores de Bienes Raíces se niegan a inscribir porque los loteos sólo cuentan con recepción provisoria.</w:t>
      </w:r>
    </w:p>
    <w:p w:rsidR="00EC0B43" w:rsidRPr="000126B2"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EC0B43" w:rsidRDefault="00EC0B43"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Para corregir esta situación, se propone que el artículo 5° señale expresamente que se trata de una servidumbre legal y que el Conservador de Bienes Raíces</w:t>
      </w:r>
      <w:r w:rsidR="006E1ABA">
        <w:rPr>
          <w:rFonts w:ascii="Palatino Linotype" w:eastAsia="Palatino Linotype" w:hAnsi="Palatino Linotype" w:cs="Palatino Linotype"/>
          <w:color w:val="000000"/>
        </w:rPr>
        <w:t xml:space="preserve"> se encuentra obligado a anotar marginalmente el gravamen, con la sola presentación de la recepción provisoria.</w:t>
      </w:r>
    </w:p>
    <w:p w:rsidR="00AD1440" w:rsidRPr="000126B2" w:rsidRDefault="00AD1440"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Pr="00AD170F"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13</w:t>
      </w:r>
      <w:r w:rsidR="00AD170F" w:rsidRPr="00AD170F">
        <w:rPr>
          <w:rFonts w:ascii="Palatino Linotype" w:eastAsia="Palatino Linotype" w:hAnsi="Palatino Linotype" w:cs="Palatino Linotype"/>
          <w:b/>
          <w:color w:val="000000"/>
        </w:rPr>
        <w:t>.- Mantención de las servidumbres en los casos en que se aplique el DL 2695:</w:t>
      </w:r>
    </w:p>
    <w:p w:rsidR="00AD170F" w:rsidRPr="000126B2"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AD170F" w:rsidRP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AD170F">
        <w:rPr>
          <w:rFonts w:ascii="Palatino Linotype" w:eastAsia="Palatino Linotype" w:hAnsi="Palatino Linotype" w:cs="Palatino Linotype"/>
          <w:color w:val="000000"/>
        </w:rPr>
        <w:t>El Decreto Ley 2.695, de 1979, que fija normas para regularizar la posesión de la pequeña propiedad raíz y para la constitución del dominio sobre ella, establece en su artículo 16 que los gravámenes y prohibiciones que afectan al predio, al cabo de 2 años, se entienden canceladas por el solo ministerio de la ley.</w:t>
      </w:r>
    </w:p>
    <w:p w:rsidR="00AD170F" w:rsidRPr="000126B2"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AD170F">
        <w:rPr>
          <w:rFonts w:ascii="Palatino Linotype" w:eastAsia="Palatino Linotype" w:hAnsi="Palatino Linotype" w:cs="Palatino Linotype"/>
          <w:color w:val="000000"/>
        </w:rPr>
        <w:t>Con el objeto de resguardar las servidumbres constituidas bajo la Ley N° 20.234, se propone establecer que dichas servidumbres no se entenderán canceladas por el transcurso de los 2 años que señala el artículo 16 del Decreto ley 2.695.</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14</w:t>
      </w:r>
      <w:r w:rsidR="001442B2" w:rsidRPr="001442B2">
        <w:rPr>
          <w:rFonts w:ascii="Palatino Linotype" w:eastAsia="Palatino Linotype" w:hAnsi="Palatino Linotype" w:cs="Palatino Linotype"/>
          <w:b/>
          <w:color w:val="000000"/>
        </w:rPr>
        <w:t>.- Definición de la recepción definitiva parcial:</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1442B2">
        <w:rPr>
          <w:rFonts w:ascii="Palatino Linotype" w:eastAsia="Palatino Linotype" w:hAnsi="Palatino Linotype" w:cs="Palatino Linotype"/>
          <w:color w:val="000000"/>
        </w:rPr>
        <w:t>El artículo 6° de la Ley N° 20.234 no define en que consiste la recepción definitiva parcial. En la práctica, se ha venido aplicando la definición contenida en la Circular Ord. N° 214 (DDU 314) numeral 7.2., por lo que se propone definirlo en la ley.</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15</w:t>
      </w:r>
      <w:r w:rsidR="001442B2" w:rsidRPr="001442B2">
        <w:rPr>
          <w:rFonts w:ascii="Palatino Linotype" w:eastAsia="Palatino Linotype" w:hAnsi="Palatino Linotype" w:cs="Palatino Linotype"/>
          <w:b/>
          <w:color w:val="000000"/>
        </w:rPr>
        <w:t>.- Ampliación de los casos de aplicación de la Ley N° 20.234:</w:t>
      </w:r>
    </w:p>
    <w:p w:rsidR="001442B2" w:rsidRPr="000126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1442B2" w:rsidRPr="001442B2" w:rsidRDefault="001442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1442B2">
        <w:rPr>
          <w:rFonts w:ascii="Palatino Linotype" w:eastAsia="Palatino Linotype" w:hAnsi="Palatino Linotype" w:cs="Palatino Linotype"/>
          <w:color w:val="000000"/>
        </w:rPr>
        <w:t xml:space="preserve">La Ley N° 20.234 sólo se aplica en la actualidad a los loteos irregulares y campamentos regulados por la Ley N° 16.741, de 1968, que establece normas para saneamiento de títulos de dominio y urbanización de poblaciones en situación irregular, en circunstancias que existen otros loteos y campamentos que carecen de obras de urbanización, pero que están regidos por otros cuerpos legales. En este sentido, se propone incorporar los loteos y campamentos regulados por el Decreto Ley 2.833, de 1979, que simplifica trámites de transferencia de dominio y constitución de gravámenes y prohibiciones en sitios ubicados en poblaciones de propiedad de los servicios de vivienda y urbanización; los loteos y campamentos regidos por la Ley N° 16.282, que fija disposiciones para casos de sismos o catástrofes, establece normas para la reconstrucción de la zona afectada por el sismo de 28 de marzo de 1965 y modifica la Ley N° 16.250; y los loteos y campamentos regulados por la Ley N° 18.138, que faculta a las municipalidades para desarrollar programas de construcción de viviendas e infraestructuras sanitarias.  </w:t>
      </w:r>
      <w:r w:rsidR="001E3239">
        <w:rPr>
          <w:rFonts w:ascii="Palatino Linotype" w:eastAsia="Palatino Linotype" w:hAnsi="Palatino Linotype" w:cs="Palatino Linotype"/>
          <w:color w:val="000000"/>
        </w:rPr>
        <w:t>Con este objeto, se propone modificar los artículos 3° letra a), 6° inciso 1° y 7° inciso 1°.</w:t>
      </w:r>
    </w:p>
    <w:p w:rsidR="002E7192" w:rsidRPr="003F4FE5" w:rsidRDefault="002E719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Pr="00AD170F"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16</w:t>
      </w:r>
      <w:r w:rsidR="00AD170F" w:rsidRPr="00AD170F">
        <w:rPr>
          <w:rFonts w:ascii="Palatino Linotype" w:eastAsia="Palatino Linotype" w:hAnsi="Palatino Linotype" w:cs="Palatino Linotype"/>
          <w:b/>
          <w:color w:val="000000"/>
        </w:rPr>
        <w:t>.- Alzamiento del loteo irregular afecto a la Ley N° 16.741:</w:t>
      </w:r>
    </w:p>
    <w:p w:rsidR="00AD170F" w:rsidRPr="003F4FE5"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P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AD170F">
        <w:rPr>
          <w:rFonts w:ascii="Palatino Linotype" w:eastAsia="Palatino Linotype" w:hAnsi="Palatino Linotype" w:cs="Palatino Linotype"/>
          <w:color w:val="000000"/>
        </w:rPr>
        <w:t>El artículo 8° de la Ley N° 20.234 señala que en los casos a que se refieren los artículos 6° y 7° de esta ley, una vez otorgada la recepción definitiva, total o parcial, ésta deberá anotarse al margen de la inscripción de dominio de los respectivos lotes y el Servicio de Vivienda y Urbanización requerirá el alzamiento de los gravámenes y prohibiciones a que pudieren encontrarse afectos en virtud de la Ley N° 16.741.</w:t>
      </w:r>
    </w:p>
    <w:p w:rsidR="00AD170F" w:rsidRP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AD170F" w:rsidRP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AD170F">
        <w:rPr>
          <w:rFonts w:ascii="Palatino Linotype" w:eastAsia="Palatino Linotype" w:hAnsi="Palatino Linotype" w:cs="Palatino Linotype"/>
          <w:color w:val="000000"/>
        </w:rPr>
        <w:lastRenderedPageBreak/>
        <w:t>La actual redacción del artículo 8° parece sugerir que bastaría contar con urbanización suficiente, es decir, tenga o no ejecutadas las obras de pavimentación, para alzar completamente el embargo y la condición de irregularidad en el Conservador de Bienes Raíces.</w:t>
      </w:r>
    </w:p>
    <w:p w:rsidR="00AD170F" w:rsidRPr="003F4FE5"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P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sidRPr="00AD170F">
        <w:rPr>
          <w:rFonts w:ascii="Palatino Linotype" w:eastAsia="Palatino Linotype" w:hAnsi="Palatino Linotype" w:cs="Palatino Linotype"/>
          <w:color w:val="000000"/>
        </w:rPr>
        <w:t>Se propone explicitar la intención del legislador, señalando que una vez que se realice la anotación marginal, se entenderá alzado el embargo y la condición de irregularidad, bastando con informar al tribunal que se realizó el alzamiento en virtud de la Ley N° 20.234, debiendo rendir cuenta de los fondos administrados y de los loteos transferidos, procediendo el tribunal a cerrar la causa del loteo.</w:t>
      </w:r>
    </w:p>
    <w:p w:rsidR="00AD170F" w:rsidRPr="003F4FE5"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2E719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17</w:t>
      </w:r>
      <w:r w:rsidR="002E7192" w:rsidRPr="002E7192">
        <w:rPr>
          <w:rFonts w:ascii="Palatino Linotype" w:eastAsia="Palatino Linotype" w:hAnsi="Palatino Linotype" w:cs="Palatino Linotype"/>
          <w:b/>
          <w:color w:val="000000"/>
        </w:rPr>
        <w:t>.- Inc</w:t>
      </w:r>
      <w:r w:rsidR="002E7192">
        <w:rPr>
          <w:rFonts w:ascii="Palatino Linotype" w:eastAsia="Palatino Linotype" w:hAnsi="Palatino Linotype" w:cs="Palatino Linotype"/>
          <w:b/>
          <w:color w:val="000000"/>
        </w:rPr>
        <w:t>orporación de los S</w:t>
      </w:r>
      <w:r w:rsidR="002E7192" w:rsidRPr="002E7192">
        <w:rPr>
          <w:rFonts w:ascii="Palatino Linotype" w:eastAsia="Palatino Linotype" w:hAnsi="Palatino Linotype" w:cs="Palatino Linotype"/>
          <w:b/>
          <w:color w:val="000000"/>
        </w:rPr>
        <w:t>ervicios de Vivienda y Urbanización como titulares en la tramitación de los Convenios de Ampliación de Territorio Operacional con las empresa</w:t>
      </w:r>
      <w:r w:rsidR="002E7192">
        <w:rPr>
          <w:rFonts w:ascii="Palatino Linotype" w:eastAsia="Palatino Linotype" w:hAnsi="Palatino Linotype" w:cs="Palatino Linotype"/>
          <w:b/>
          <w:color w:val="000000"/>
        </w:rPr>
        <w:t>s</w:t>
      </w:r>
      <w:r w:rsidR="002E7192" w:rsidRPr="002E7192">
        <w:rPr>
          <w:rFonts w:ascii="Palatino Linotype" w:eastAsia="Palatino Linotype" w:hAnsi="Palatino Linotype" w:cs="Palatino Linotype"/>
          <w:b/>
          <w:color w:val="000000"/>
        </w:rPr>
        <w:t xml:space="preserve"> </w:t>
      </w:r>
      <w:r w:rsidR="002E7192">
        <w:rPr>
          <w:rFonts w:ascii="Palatino Linotype" w:eastAsia="Palatino Linotype" w:hAnsi="Palatino Linotype" w:cs="Palatino Linotype"/>
          <w:b/>
          <w:color w:val="000000"/>
        </w:rPr>
        <w:t>s</w:t>
      </w:r>
      <w:r w:rsidR="002E7192" w:rsidRPr="002E7192">
        <w:rPr>
          <w:rFonts w:ascii="Palatino Linotype" w:eastAsia="Palatino Linotype" w:hAnsi="Palatino Linotype" w:cs="Palatino Linotype"/>
          <w:b/>
          <w:color w:val="000000"/>
        </w:rPr>
        <w:t>anitarias</w:t>
      </w:r>
      <w:r w:rsidR="002E7192">
        <w:rPr>
          <w:rFonts w:ascii="Palatino Linotype" w:eastAsia="Palatino Linotype" w:hAnsi="Palatino Linotype" w:cs="Palatino Linotype"/>
          <w:color w:val="000000"/>
        </w:rPr>
        <w:t>:</w:t>
      </w:r>
    </w:p>
    <w:p w:rsidR="002E7192" w:rsidRPr="003F4FE5" w:rsidRDefault="002E719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2E7192" w:rsidRDefault="002E719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El artículo 9° de la Ley N° 20.234, señala que le corresponde a las municipalidades la </w:t>
      </w:r>
      <w:r w:rsidRPr="002E7192">
        <w:rPr>
          <w:rFonts w:ascii="Palatino Linotype" w:eastAsia="Palatino Linotype" w:hAnsi="Palatino Linotype" w:cs="Palatino Linotype"/>
          <w:color w:val="000000"/>
        </w:rPr>
        <w:t>tramitación de los Convenios de Ampli</w:t>
      </w:r>
      <w:r>
        <w:rPr>
          <w:rFonts w:ascii="Palatino Linotype" w:eastAsia="Palatino Linotype" w:hAnsi="Palatino Linotype" w:cs="Palatino Linotype"/>
          <w:color w:val="000000"/>
        </w:rPr>
        <w:t xml:space="preserve">ación de Territorio Operacional, con las empresas sanitarias. Se propone </w:t>
      </w:r>
      <w:r w:rsidR="00C34A78">
        <w:rPr>
          <w:rFonts w:ascii="Palatino Linotype" w:eastAsia="Palatino Linotype" w:hAnsi="Palatino Linotype" w:cs="Palatino Linotype"/>
          <w:color w:val="000000"/>
        </w:rPr>
        <w:t xml:space="preserve">modificar el inciso 5° del artículo 9°, con el objeto de </w:t>
      </w:r>
      <w:r>
        <w:rPr>
          <w:rFonts w:ascii="Palatino Linotype" w:eastAsia="Palatino Linotype" w:hAnsi="Palatino Linotype" w:cs="Palatino Linotype"/>
          <w:color w:val="000000"/>
        </w:rPr>
        <w:t xml:space="preserve">incorporar a los </w:t>
      </w:r>
      <w:r w:rsidRPr="002E7192">
        <w:rPr>
          <w:rFonts w:ascii="Palatino Linotype" w:eastAsia="Palatino Linotype" w:hAnsi="Palatino Linotype" w:cs="Palatino Linotype"/>
          <w:color w:val="000000"/>
        </w:rPr>
        <w:t>Servicios de Vivienda y Urbanización</w:t>
      </w:r>
      <w:r>
        <w:rPr>
          <w:rFonts w:ascii="Palatino Linotype" w:eastAsia="Palatino Linotype" w:hAnsi="Palatino Linotype" w:cs="Palatino Linotype"/>
          <w:color w:val="000000"/>
        </w:rPr>
        <w:t xml:space="preserve"> en esta función, con el objeto de reducir los tiempos de tramitación.</w:t>
      </w:r>
    </w:p>
    <w:p w:rsidR="002E7192" w:rsidRPr="003F4FE5" w:rsidRDefault="002E719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2E7192" w:rsidRPr="005550CB"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18</w:t>
      </w:r>
      <w:r w:rsidR="002E7192" w:rsidRPr="005550CB">
        <w:rPr>
          <w:rFonts w:ascii="Palatino Linotype" w:eastAsia="Palatino Linotype" w:hAnsi="Palatino Linotype" w:cs="Palatino Linotype"/>
          <w:b/>
          <w:color w:val="000000"/>
        </w:rPr>
        <w:t>.- Gratuidad de los Certificados de Informes Previos:</w:t>
      </w:r>
    </w:p>
    <w:p w:rsidR="002E7192" w:rsidRPr="003F4FE5" w:rsidRDefault="002E719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2E7192" w:rsidRDefault="005550CB"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Como consecuencia del cobro de dichos certificados por parte de algunos municipios, se propone </w:t>
      </w:r>
      <w:r w:rsidR="00C34A78">
        <w:rPr>
          <w:rFonts w:ascii="Palatino Linotype" w:eastAsia="Palatino Linotype" w:hAnsi="Palatino Linotype" w:cs="Palatino Linotype"/>
          <w:color w:val="000000"/>
        </w:rPr>
        <w:t xml:space="preserve">agregar un nuevo artículo 14, con el objeto de </w:t>
      </w:r>
      <w:r>
        <w:rPr>
          <w:rFonts w:ascii="Palatino Linotype" w:eastAsia="Palatino Linotype" w:hAnsi="Palatino Linotype" w:cs="Palatino Linotype"/>
          <w:color w:val="000000"/>
        </w:rPr>
        <w:t>establecer de manera expresa que el Ministerio de Vivienda y Urbanismo y los Servicios de Vivienda y Urbanización se encuentran exentos del pago de derechos respecto de los Certificados de informaciones Previas.</w:t>
      </w:r>
    </w:p>
    <w:p w:rsidR="00874F16" w:rsidRPr="003F4FE5" w:rsidRDefault="00874F16"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874F16"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19</w:t>
      </w:r>
      <w:r w:rsidR="00874F16" w:rsidRPr="00874F16">
        <w:rPr>
          <w:rFonts w:ascii="Palatino Linotype" w:eastAsia="Palatino Linotype" w:hAnsi="Palatino Linotype" w:cs="Palatino Linotype"/>
          <w:b/>
          <w:color w:val="000000"/>
        </w:rPr>
        <w:t>.- Regulación especial de las normas sobre accesibilidad universal</w:t>
      </w:r>
      <w:r w:rsidR="00874F16">
        <w:rPr>
          <w:rFonts w:ascii="Palatino Linotype" w:eastAsia="Palatino Linotype" w:hAnsi="Palatino Linotype" w:cs="Palatino Linotype"/>
          <w:b/>
          <w:color w:val="000000"/>
        </w:rPr>
        <w:t>.</w:t>
      </w:r>
    </w:p>
    <w:p w:rsidR="00874F16" w:rsidRPr="003F4FE5" w:rsidRDefault="00874F16" w:rsidP="00976D17">
      <w:pPr>
        <w:pBdr>
          <w:top w:val="nil"/>
          <w:left w:val="nil"/>
          <w:bottom w:val="nil"/>
          <w:right w:val="nil"/>
          <w:between w:val="nil"/>
        </w:pBdr>
        <w:ind w:right="-138" w:firstLine="360"/>
        <w:jc w:val="both"/>
        <w:rPr>
          <w:rFonts w:ascii="Palatino Linotype" w:eastAsia="Palatino Linotype" w:hAnsi="Palatino Linotype" w:cs="Palatino Linotype"/>
          <w:b/>
          <w:color w:val="000000"/>
          <w:sz w:val="16"/>
          <w:szCs w:val="16"/>
        </w:rPr>
      </w:pPr>
    </w:p>
    <w:p w:rsidR="00874F16" w:rsidRDefault="006274C3"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Existen ciertos territorios en que</w:t>
      </w:r>
      <w:r w:rsidR="00AD170F">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por su particular topografía, como ocurre en Valparaíso o</w:t>
      </w:r>
      <w:r w:rsidR="00AD170F">
        <w:rPr>
          <w:rFonts w:ascii="Palatino Linotype" w:eastAsia="Palatino Linotype" w:hAnsi="Palatino Linotype" w:cs="Palatino Linotype"/>
          <w:color w:val="000000"/>
        </w:rPr>
        <w:t xml:space="preserve"> Viña del </w:t>
      </w:r>
      <w:r>
        <w:rPr>
          <w:rFonts w:ascii="Palatino Linotype" w:eastAsia="Palatino Linotype" w:hAnsi="Palatino Linotype" w:cs="Palatino Linotype"/>
          <w:color w:val="000000"/>
        </w:rPr>
        <w:t xml:space="preserve">Mar, </w:t>
      </w:r>
      <w:r w:rsidR="00AD170F">
        <w:rPr>
          <w:rFonts w:ascii="Palatino Linotype" w:eastAsia="Palatino Linotype" w:hAnsi="Palatino Linotype" w:cs="Palatino Linotype"/>
          <w:color w:val="000000"/>
        </w:rPr>
        <w:t>resulta imposible dar cumplimiento estricto a las normas de accesibilidad universal.</w:t>
      </w:r>
    </w:p>
    <w:p w:rsidR="00AD170F" w:rsidRPr="003F4FE5"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AD170F" w:rsidRDefault="00AD170F"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Se propone </w:t>
      </w:r>
      <w:r w:rsidR="00C34A78">
        <w:rPr>
          <w:rFonts w:ascii="Palatino Linotype" w:eastAsia="Palatino Linotype" w:hAnsi="Palatino Linotype" w:cs="Palatino Linotype"/>
          <w:color w:val="000000"/>
        </w:rPr>
        <w:t xml:space="preserve">agregar un nuevo artículo 15, con el objeto de </w:t>
      </w:r>
      <w:r>
        <w:rPr>
          <w:rFonts w:ascii="Palatino Linotype" w:eastAsia="Palatino Linotype" w:hAnsi="Palatino Linotype" w:cs="Palatino Linotype"/>
          <w:color w:val="000000"/>
        </w:rPr>
        <w:t>establecer que, en casos fundados, se apliquen parcialmente las normas sobre accesibilidad universal.</w:t>
      </w:r>
    </w:p>
    <w:p w:rsidR="008B27A2" w:rsidRDefault="008B27A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8B27A2" w:rsidRDefault="008C6279"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b/>
          <w:color w:val="000000"/>
        </w:rPr>
        <w:t>20</w:t>
      </w:r>
      <w:r w:rsidR="008B27A2" w:rsidRPr="00F63F51">
        <w:rPr>
          <w:rFonts w:ascii="Palatino Linotype" w:eastAsia="Palatino Linotype" w:hAnsi="Palatino Linotype" w:cs="Palatino Linotype"/>
          <w:b/>
          <w:color w:val="000000"/>
        </w:rPr>
        <w:t>. Recursos para que el Ministerio de Vivienda pueda cumplir y ejecutar las acciones y medidas planteadas en el Proyecto</w:t>
      </w:r>
      <w:r w:rsidR="008B27A2">
        <w:rPr>
          <w:rFonts w:ascii="Palatino Linotype" w:eastAsia="Palatino Linotype" w:hAnsi="Palatino Linotype" w:cs="Palatino Linotype"/>
          <w:color w:val="000000"/>
        </w:rPr>
        <w:t>.</w:t>
      </w:r>
    </w:p>
    <w:p w:rsidR="008B27A2" w:rsidRPr="003F4FE5" w:rsidRDefault="008B27A2"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8B27A2" w:rsidRDefault="008B27A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 pro</w:t>
      </w:r>
      <w:r w:rsidR="00F63F51">
        <w:rPr>
          <w:rFonts w:ascii="Palatino Linotype" w:eastAsia="Palatino Linotype" w:hAnsi="Palatino Linotype" w:cs="Palatino Linotype"/>
          <w:color w:val="000000"/>
        </w:rPr>
        <w:t xml:space="preserve">pone </w:t>
      </w:r>
      <w:r w:rsidR="00C34A78">
        <w:rPr>
          <w:rFonts w:ascii="Palatino Linotype" w:eastAsia="Palatino Linotype" w:hAnsi="Palatino Linotype" w:cs="Palatino Linotype"/>
          <w:color w:val="000000"/>
        </w:rPr>
        <w:t xml:space="preserve">agregar un artículo transitorio, con el objeto </w:t>
      </w:r>
      <w:r w:rsidR="00F63F51">
        <w:rPr>
          <w:rFonts w:ascii="Palatino Linotype" w:eastAsia="Palatino Linotype" w:hAnsi="Palatino Linotype" w:cs="Palatino Linotype"/>
          <w:color w:val="000000"/>
        </w:rPr>
        <w:t xml:space="preserve">que el Ministerio de la Vivienda, </w:t>
      </w:r>
      <w:r>
        <w:rPr>
          <w:rFonts w:ascii="Palatino Linotype" w:eastAsia="Palatino Linotype" w:hAnsi="Palatino Linotype" w:cs="Palatino Linotype"/>
          <w:color w:val="000000"/>
        </w:rPr>
        <w:t>a través de los servicios de Vivienda y</w:t>
      </w:r>
      <w:r w:rsidR="00F63F51">
        <w:rPr>
          <w:rFonts w:ascii="Palatino Linotype" w:eastAsia="Palatino Linotype" w:hAnsi="Palatino Linotype" w:cs="Palatino Linotype"/>
          <w:color w:val="000000"/>
        </w:rPr>
        <w:t xml:space="preserve"> Urbanismo o las Secretarías Re</w:t>
      </w:r>
      <w:r>
        <w:rPr>
          <w:rFonts w:ascii="Palatino Linotype" w:eastAsia="Palatino Linotype" w:hAnsi="Palatino Linotype" w:cs="Palatino Linotype"/>
          <w:color w:val="000000"/>
        </w:rPr>
        <w:t>gionales Ministeriales pueda disponer de los recursos necesarios para ejecutar las acciones y cumplir con las medidas señaladas en este proyecto de ley.</w:t>
      </w:r>
    </w:p>
    <w:p w:rsidR="003F4FE5" w:rsidRPr="003F4FE5" w:rsidRDefault="003F4FE5" w:rsidP="00976D17">
      <w:pPr>
        <w:pBdr>
          <w:top w:val="nil"/>
          <w:left w:val="nil"/>
          <w:bottom w:val="nil"/>
          <w:right w:val="nil"/>
          <w:between w:val="nil"/>
        </w:pBdr>
        <w:ind w:right="-138" w:firstLine="360"/>
        <w:jc w:val="both"/>
        <w:rPr>
          <w:rFonts w:ascii="Palatino Linotype" w:eastAsia="Palatino Linotype" w:hAnsi="Palatino Linotype" w:cs="Palatino Linotype"/>
          <w:color w:val="000000"/>
          <w:sz w:val="16"/>
          <w:szCs w:val="16"/>
        </w:rPr>
      </w:pPr>
    </w:p>
    <w:p w:rsidR="004B7EB2" w:rsidRPr="00874F16" w:rsidRDefault="004B7EB2"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Este proyecto de ley </w:t>
      </w:r>
      <w:r w:rsidR="008C6279">
        <w:rPr>
          <w:rFonts w:ascii="Palatino Linotype" w:eastAsia="Palatino Linotype" w:hAnsi="Palatino Linotype" w:cs="Palatino Linotype"/>
          <w:color w:val="000000"/>
        </w:rPr>
        <w:t>ha sido elaborado</w:t>
      </w:r>
      <w:r>
        <w:rPr>
          <w:rFonts w:ascii="Palatino Linotype" w:eastAsia="Palatino Linotype" w:hAnsi="Palatino Linotype" w:cs="Palatino Linotype"/>
          <w:color w:val="000000"/>
        </w:rPr>
        <w:t xml:space="preserve"> </w:t>
      </w:r>
      <w:r w:rsidR="008C6279">
        <w:rPr>
          <w:rFonts w:ascii="Palatino Linotype" w:eastAsia="Palatino Linotype" w:hAnsi="Palatino Linotype" w:cs="Palatino Linotype"/>
          <w:color w:val="000000"/>
        </w:rPr>
        <w:t xml:space="preserve">sobre la base de un completo </w:t>
      </w:r>
      <w:r>
        <w:rPr>
          <w:rFonts w:ascii="Palatino Linotype" w:eastAsia="Palatino Linotype" w:hAnsi="Palatino Linotype" w:cs="Palatino Linotype"/>
          <w:color w:val="000000"/>
        </w:rPr>
        <w:t xml:space="preserve">análisis de la Ley </w:t>
      </w:r>
      <w:r w:rsidR="008C6279">
        <w:rPr>
          <w:rFonts w:ascii="Palatino Linotype" w:eastAsia="Palatino Linotype" w:hAnsi="Palatino Linotype" w:cs="Palatino Linotype"/>
          <w:color w:val="000000"/>
        </w:rPr>
        <w:t xml:space="preserve">N° </w:t>
      </w:r>
      <w:r>
        <w:rPr>
          <w:rFonts w:ascii="Palatino Linotype" w:eastAsia="Palatino Linotype" w:hAnsi="Palatino Linotype" w:cs="Palatino Linotype"/>
          <w:color w:val="000000"/>
        </w:rPr>
        <w:t>20.234</w:t>
      </w:r>
      <w:r w:rsidR="008C6279">
        <w:rPr>
          <w:rFonts w:ascii="Palatino Linotype" w:eastAsia="Palatino Linotype" w:hAnsi="Palatino Linotype" w:cs="Palatino Linotype"/>
          <w:color w:val="000000"/>
        </w:rPr>
        <w:t xml:space="preserve">, así como de una </w:t>
      </w:r>
      <w:r>
        <w:rPr>
          <w:rFonts w:ascii="Palatino Linotype" w:eastAsia="Palatino Linotype" w:hAnsi="Palatino Linotype" w:cs="Palatino Linotype"/>
          <w:color w:val="000000"/>
        </w:rPr>
        <w:t>propuesta de modificaciones</w:t>
      </w:r>
      <w:r w:rsidR="008C6279">
        <w:rPr>
          <w:rFonts w:ascii="Palatino Linotype" w:eastAsia="Palatino Linotype" w:hAnsi="Palatino Linotype" w:cs="Palatino Linotype"/>
          <w:color w:val="000000"/>
        </w:rPr>
        <w:t xml:space="preserve"> aportada por el Servicio de Vivienda y Urbanismo de la</w:t>
      </w:r>
      <w:r w:rsidR="002661CD">
        <w:rPr>
          <w:rFonts w:ascii="Palatino Linotype" w:eastAsia="Palatino Linotype" w:hAnsi="Palatino Linotype" w:cs="Palatino Linotype"/>
          <w:color w:val="000000"/>
        </w:rPr>
        <w:t xml:space="preserve"> Quinta Región en base a su experiencia.</w:t>
      </w:r>
    </w:p>
    <w:p w:rsidR="0012025C" w:rsidRDefault="0012025C" w:rsidP="00976D17">
      <w:pPr>
        <w:widowControl w:val="0"/>
        <w:pBdr>
          <w:top w:val="nil"/>
          <w:left w:val="nil"/>
          <w:bottom w:val="nil"/>
          <w:right w:val="nil"/>
          <w:between w:val="nil"/>
        </w:pBdr>
        <w:ind w:left="720" w:right="-138"/>
        <w:jc w:val="both"/>
        <w:rPr>
          <w:rFonts w:ascii="Palatino Linotype" w:eastAsia="Palatino Linotype" w:hAnsi="Palatino Linotype" w:cs="Palatino Linotype"/>
          <w:color w:val="000000"/>
          <w:sz w:val="16"/>
          <w:szCs w:val="16"/>
        </w:rPr>
      </w:pPr>
    </w:p>
    <w:p w:rsidR="0012025C" w:rsidRDefault="00476ECF" w:rsidP="00976D17">
      <w:pPr>
        <w:widowControl w:val="0"/>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consecuencia, los diputados firmantes presentan el siguiente:</w:t>
      </w:r>
    </w:p>
    <w:p w:rsidR="00C34A78" w:rsidRDefault="00C34A78" w:rsidP="00976D17">
      <w:pPr>
        <w:widowControl w:val="0"/>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12025C" w:rsidRDefault="00476ECF" w:rsidP="00976D17">
      <w:pPr>
        <w:pBdr>
          <w:top w:val="nil"/>
          <w:left w:val="nil"/>
          <w:bottom w:val="nil"/>
          <w:right w:val="nil"/>
          <w:between w:val="nil"/>
        </w:pBdr>
        <w:ind w:right="-138"/>
        <w:jc w:val="center"/>
        <w:rPr>
          <w:rFonts w:ascii="Palatino Linotype" w:eastAsia="Palatino Linotype" w:hAnsi="Palatino Linotype" w:cs="Palatino Linotype"/>
          <w:b/>
          <w:color w:val="000000"/>
          <w:sz w:val="36"/>
          <w:szCs w:val="36"/>
        </w:rPr>
      </w:pPr>
      <w:bookmarkStart w:id="1" w:name="_30j0zll" w:colFirst="0" w:colLast="0"/>
      <w:bookmarkEnd w:id="1"/>
      <w:r>
        <w:rPr>
          <w:rFonts w:ascii="Palatino Linotype" w:eastAsia="Palatino Linotype" w:hAnsi="Palatino Linotype" w:cs="Palatino Linotype"/>
          <w:b/>
          <w:color w:val="000000"/>
          <w:sz w:val="36"/>
          <w:szCs w:val="36"/>
        </w:rPr>
        <w:lastRenderedPageBreak/>
        <w:t>PROYECTO DE LEY</w:t>
      </w:r>
    </w:p>
    <w:p w:rsidR="00AD170F" w:rsidRPr="003F4FE5" w:rsidRDefault="00AD170F" w:rsidP="00976D17">
      <w:pPr>
        <w:pBdr>
          <w:top w:val="nil"/>
          <w:left w:val="nil"/>
          <w:bottom w:val="nil"/>
          <w:right w:val="nil"/>
          <w:between w:val="nil"/>
        </w:pBdr>
        <w:ind w:right="-138"/>
        <w:jc w:val="center"/>
        <w:rPr>
          <w:rFonts w:ascii="Palatino Linotype" w:eastAsia="Palatino Linotype" w:hAnsi="Palatino Linotype" w:cs="Palatino Linotype"/>
          <w:b/>
          <w:color w:val="000000"/>
          <w:sz w:val="16"/>
          <w:szCs w:val="16"/>
        </w:rPr>
      </w:pPr>
    </w:p>
    <w:p w:rsidR="0012025C" w:rsidRDefault="006274C3" w:rsidP="00976D17">
      <w:pPr>
        <w:pBdr>
          <w:top w:val="nil"/>
          <w:left w:val="nil"/>
          <w:bottom w:val="nil"/>
          <w:right w:val="nil"/>
          <w:between w:val="nil"/>
        </w:pBdr>
        <w:ind w:right="-13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 xml:space="preserve">MODIFICA LEY Nº </w:t>
      </w:r>
      <w:r w:rsidR="00FE5687">
        <w:rPr>
          <w:rFonts w:ascii="Palatino Linotype" w:eastAsia="Palatino Linotype" w:hAnsi="Palatino Linotype" w:cs="Palatino Linotype"/>
          <w:b/>
          <w:color w:val="000000"/>
        </w:rPr>
        <w:t>20.234</w:t>
      </w:r>
      <w:r w:rsidR="00AD170F" w:rsidRPr="00AD170F">
        <w:rPr>
          <w:rFonts w:ascii="Palatino Linotype" w:eastAsia="Palatino Linotype" w:hAnsi="Palatino Linotype" w:cs="Palatino Linotype"/>
          <w:b/>
          <w:color w:val="000000"/>
        </w:rPr>
        <w:t xml:space="preserve"> QUE ESTABLECE </w:t>
      </w:r>
      <w:r>
        <w:rPr>
          <w:rFonts w:ascii="Palatino Linotype" w:eastAsia="Palatino Linotype" w:hAnsi="Palatino Linotype" w:cs="Palatino Linotype"/>
          <w:b/>
          <w:color w:val="000000"/>
        </w:rPr>
        <w:t xml:space="preserve">UN </w:t>
      </w:r>
      <w:r w:rsidR="00AD170F" w:rsidRPr="00AD170F">
        <w:rPr>
          <w:rFonts w:ascii="Palatino Linotype" w:eastAsia="Palatino Linotype" w:hAnsi="Palatino Linotype" w:cs="Palatino Linotype"/>
          <w:b/>
          <w:color w:val="000000"/>
        </w:rPr>
        <w:t>PROCEDIMIENTO</w:t>
      </w:r>
      <w:r>
        <w:rPr>
          <w:rFonts w:ascii="Palatino Linotype" w:eastAsia="Palatino Linotype" w:hAnsi="Palatino Linotype" w:cs="Palatino Linotype"/>
          <w:b/>
          <w:color w:val="000000"/>
        </w:rPr>
        <w:t xml:space="preserve"> </w:t>
      </w:r>
      <w:r w:rsidR="00AD170F" w:rsidRPr="00AD170F">
        <w:rPr>
          <w:rFonts w:ascii="Palatino Linotype" w:eastAsia="Palatino Linotype" w:hAnsi="Palatino Linotype" w:cs="Palatino Linotype"/>
          <w:b/>
          <w:color w:val="000000"/>
        </w:rPr>
        <w:t>DE SANEAMIENTO Y REGULARIZACIÓN DE LOTEOS, Y AMPLÍA SU PLAZO DE VIGENCIA.</w:t>
      </w:r>
    </w:p>
    <w:p w:rsidR="00AD170F" w:rsidRPr="003F4FE5" w:rsidRDefault="00AD170F" w:rsidP="00976D17">
      <w:pPr>
        <w:pBdr>
          <w:top w:val="nil"/>
          <w:left w:val="nil"/>
          <w:bottom w:val="nil"/>
          <w:right w:val="nil"/>
          <w:between w:val="nil"/>
        </w:pBdr>
        <w:ind w:right="-138"/>
        <w:jc w:val="center"/>
        <w:rPr>
          <w:rFonts w:ascii="Palatino Linotype" w:eastAsia="Palatino Linotype" w:hAnsi="Palatino Linotype" w:cs="Palatino Linotype"/>
          <w:b/>
          <w:color w:val="000000"/>
          <w:sz w:val="16"/>
          <w:szCs w:val="16"/>
        </w:rPr>
      </w:pPr>
    </w:p>
    <w:p w:rsidR="00AD170F" w:rsidRDefault="00AD170F"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1°.-</w:t>
      </w:r>
      <w:r w:rsidRPr="00AD170F">
        <w:rPr>
          <w:rFonts w:ascii="Palatino Linotype" w:eastAsia="Palatino Linotype" w:hAnsi="Palatino Linotype" w:cs="Palatino Linotype"/>
          <w:color w:val="000000"/>
        </w:rPr>
        <w:t xml:space="preserve"> </w:t>
      </w:r>
      <w:proofErr w:type="spellStart"/>
      <w:r>
        <w:rPr>
          <w:rFonts w:ascii="Palatino Linotype" w:eastAsia="Palatino Linotype" w:hAnsi="Palatino Linotype" w:cs="Palatino Linotype"/>
          <w:color w:val="000000"/>
        </w:rPr>
        <w:t>Prorrógase</w:t>
      </w:r>
      <w:proofErr w:type="spellEnd"/>
      <w:r>
        <w:rPr>
          <w:rFonts w:ascii="Palatino Linotype" w:eastAsia="Palatino Linotype" w:hAnsi="Palatino Linotype" w:cs="Palatino Linotype"/>
          <w:color w:val="000000"/>
        </w:rPr>
        <w:t xml:space="preserve"> por el plazo de diez</w:t>
      </w:r>
      <w:r w:rsidRPr="00AD170F">
        <w:rPr>
          <w:rFonts w:ascii="Palatino Linotype" w:eastAsia="Palatino Linotype" w:hAnsi="Palatino Linotype" w:cs="Palatino Linotype"/>
          <w:color w:val="000000"/>
        </w:rPr>
        <w:t xml:space="preserve"> años, a contar de la entrada</w:t>
      </w:r>
      <w:r>
        <w:rPr>
          <w:rFonts w:ascii="Palatino Linotype" w:eastAsia="Palatino Linotype" w:hAnsi="Palatino Linotype" w:cs="Palatino Linotype"/>
          <w:color w:val="000000"/>
        </w:rPr>
        <w:t xml:space="preserve"> </w:t>
      </w:r>
      <w:r w:rsidRPr="00AD170F">
        <w:rPr>
          <w:rFonts w:ascii="Palatino Linotype" w:eastAsia="Palatino Linotype" w:hAnsi="Palatino Linotype" w:cs="Palatino Linotype"/>
          <w:color w:val="000000"/>
        </w:rPr>
        <w:t>en vigencia de la presente ley, el procedimiento simplificado de regularización a</w:t>
      </w:r>
      <w:r>
        <w:rPr>
          <w:rFonts w:ascii="Palatino Linotype" w:eastAsia="Palatino Linotype" w:hAnsi="Palatino Linotype" w:cs="Palatino Linotype"/>
          <w:color w:val="000000"/>
        </w:rPr>
        <w:t xml:space="preserve"> </w:t>
      </w:r>
      <w:r w:rsidRPr="00AD170F">
        <w:rPr>
          <w:rFonts w:ascii="Palatino Linotype" w:eastAsia="Palatino Linotype" w:hAnsi="Palatino Linotype" w:cs="Palatino Linotype"/>
          <w:color w:val="000000"/>
        </w:rPr>
        <w:t>que se refiere el artículo 1º de la ley Nº 20.234.</w:t>
      </w:r>
    </w:p>
    <w:p w:rsidR="00AD170F" w:rsidRPr="003F4FE5" w:rsidRDefault="00AD170F" w:rsidP="00976D17">
      <w:pPr>
        <w:pBdr>
          <w:top w:val="nil"/>
          <w:left w:val="nil"/>
          <w:bottom w:val="nil"/>
          <w:right w:val="nil"/>
          <w:between w:val="nil"/>
        </w:pBdr>
        <w:ind w:right="-138"/>
        <w:jc w:val="both"/>
        <w:rPr>
          <w:rFonts w:ascii="Palatino Linotype" w:eastAsia="Palatino Linotype" w:hAnsi="Palatino Linotype" w:cs="Palatino Linotype"/>
          <w:color w:val="000000"/>
          <w:sz w:val="16"/>
          <w:szCs w:val="16"/>
        </w:rPr>
      </w:pPr>
    </w:p>
    <w:p w:rsidR="00AD170F" w:rsidRPr="00AD170F" w:rsidRDefault="00AD170F"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Artículo 2°.-</w:t>
      </w:r>
      <w:r w:rsidR="00FF6A83">
        <w:rPr>
          <w:rFonts w:ascii="Palatino Linotype" w:eastAsia="Palatino Linotype" w:hAnsi="Palatino Linotype" w:cs="Palatino Linotype"/>
          <w:color w:val="000000"/>
        </w:rPr>
        <w:t xml:space="preserve"> Introdúcense, en la L</w:t>
      </w:r>
      <w:r w:rsidRPr="00AD170F">
        <w:rPr>
          <w:rFonts w:ascii="Palatino Linotype" w:eastAsia="Palatino Linotype" w:hAnsi="Palatino Linotype" w:cs="Palatino Linotype"/>
          <w:color w:val="000000"/>
        </w:rPr>
        <w:t>ey Nº 20.234, que establece un</w:t>
      </w:r>
      <w:r>
        <w:rPr>
          <w:rFonts w:ascii="Palatino Linotype" w:eastAsia="Palatino Linotype" w:hAnsi="Palatino Linotype" w:cs="Palatino Linotype"/>
          <w:color w:val="000000"/>
        </w:rPr>
        <w:t xml:space="preserve"> </w:t>
      </w:r>
      <w:r w:rsidRPr="00AD170F">
        <w:rPr>
          <w:rFonts w:ascii="Palatino Linotype" w:eastAsia="Palatino Linotype" w:hAnsi="Palatino Linotype" w:cs="Palatino Linotype"/>
          <w:color w:val="000000"/>
        </w:rPr>
        <w:t>procedimiento de saneamiento y regularización de loteos, las siguientes</w:t>
      </w:r>
      <w:r>
        <w:rPr>
          <w:rFonts w:ascii="Palatino Linotype" w:eastAsia="Palatino Linotype" w:hAnsi="Palatino Linotype" w:cs="Palatino Linotype"/>
          <w:color w:val="000000"/>
        </w:rPr>
        <w:t xml:space="preserve"> </w:t>
      </w:r>
      <w:r w:rsidRPr="00AD170F">
        <w:rPr>
          <w:rFonts w:ascii="Palatino Linotype" w:eastAsia="Palatino Linotype" w:hAnsi="Palatino Linotype" w:cs="Palatino Linotype"/>
          <w:color w:val="000000"/>
        </w:rPr>
        <w:t>modificaciones:</w:t>
      </w:r>
    </w:p>
    <w:p w:rsidR="00AD170F" w:rsidRPr="003F4FE5" w:rsidRDefault="00AD170F" w:rsidP="00976D17">
      <w:pPr>
        <w:pBdr>
          <w:top w:val="nil"/>
          <w:left w:val="nil"/>
          <w:bottom w:val="nil"/>
          <w:right w:val="nil"/>
          <w:between w:val="nil"/>
        </w:pBdr>
        <w:ind w:right="-138"/>
        <w:jc w:val="both"/>
        <w:rPr>
          <w:rFonts w:ascii="Palatino Linotype" w:eastAsia="Palatino Linotype" w:hAnsi="Palatino Linotype" w:cs="Palatino Linotype"/>
          <w:color w:val="000000"/>
          <w:sz w:val="16"/>
          <w:szCs w:val="16"/>
        </w:rPr>
      </w:pPr>
    </w:p>
    <w:p w:rsidR="00E17259" w:rsidRDefault="00632C05"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1.-</w:t>
      </w:r>
      <w:r w:rsidR="00E17259" w:rsidRPr="00632C05">
        <w:rPr>
          <w:rFonts w:ascii="Palatino Linotype" w:eastAsia="Palatino Linotype" w:hAnsi="Palatino Linotype" w:cs="Palatino Linotype"/>
          <w:color w:val="000000"/>
        </w:rPr>
        <w:t>En el artículo 2°:</w:t>
      </w:r>
    </w:p>
    <w:p w:rsidR="00611264" w:rsidRDefault="00611264"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Sustitúyase en el número</w:t>
      </w:r>
      <w:r w:rsidRPr="00611264">
        <w:rPr>
          <w:rFonts w:ascii="Palatino Linotype" w:eastAsia="Palatino Linotype" w:hAnsi="Palatino Linotype" w:cs="Palatino Linotype"/>
          <w:color w:val="000000"/>
        </w:rPr>
        <w:t xml:space="preserve"> 3</w:t>
      </w:r>
      <w:r>
        <w:rPr>
          <w:rFonts w:ascii="Palatino Linotype" w:eastAsia="Palatino Linotype" w:hAnsi="Palatino Linotype" w:cs="Palatino Linotype"/>
          <w:color w:val="000000"/>
        </w:rPr>
        <w:t>,</w:t>
      </w:r>
      <w:r w:rsidR="009D7E17">
        <w:rPr>
          <w:rFonts w:ascii="Palatino Linotype" w:eastAsia="Palatino Linotype" w:hAnsi="Palatino Linotype" w:cs="Palatino Linotype"/>
          <w:color w:val="000000"/>
        </w:rPr>
        <w:t xml:space="preserve"> el guarismo</w:t>
      </w:r>
      <w:r>
        <w:rPr>
          <w:rFonts w:ascii="Palatino Linotype" w:eastAsia="Palatino Linotype" w:hAnsi="Palatino Linotype" w:cs="Palatino Linotype"/>
          <w:color w:val="000000"/>
        </w:rPr>
        <w:t xml:space="preserve"> “40%” por “30%”</w:t>
      </w:r>
      <w:r w:rsidR="009D7E17">
        <w:rPr>
          <w:rFonts w:ascii="Palatino Linotype" w:eastAsia="Palatino Linotype" w:hAnsi="Palatino Linotype" w:cs="Palatino Linotype"/>
          <w:color w:val="000000"/>
        </w:rPr>
        <w:t xml:space="preserve"> y el guarismo</w:t>
      </w:r>
      <w:r>
        <w:rPr>
          <w:rFonts w:ascii="Palatino Linotype" w:eastAsia="Palatino Linotype" w:hAnsi="Palatino Linotype" w:cs="Palatino Linotype"/>
          <w:color w:val="000000"/>
        </w:rPr>
        <w:t xml:space="preserve"> “30%” por “20%”</w:t>
      </w:r>
    </w:p>
    <w:p w:rsidR="00611264" w:rsidRPr="003F4FE5" w:rsidRDefault="00611264" w:rsidP="00976D17">
      <w:pPr>
        <w:pBdr>
          <w:top w:val="nil"/>
          <w:left w:val="nil"/>
          <w:bottom w:val="nil"/>
          <w:right w:val="nil"/>
          <w:between w:val="nil"/>
        </w:pBdr>
        <w:ind w:right="-138" w:firstLine="420"/>
        <w:jc w:val="both"/>
        <w:rPr>
          <w:rFonts w:ascii="Palatino Linotype" w:eastAsia="Palatino Linotype" w:hAnsi="Palatino Linotype" w:cs="Palatino Linotype"/>
          <w:color w:val="000000"/>
          <w:sz w:val="16"/>
          <w:szCs w:val="16"/>
        </w:rPr>
      </w:pPr>
    </w:p>
    <w:p w:rsidR="00611264" w:rsidRPr="00632C05" w:rsidRDefault="00611264"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Sustitúyase en el número 4, el vocablo “sesenta” por “cuarenta y cinco” y </w:t>
      </w:r>
      <w:r w:rsidR="009D7E17">
        <w:rPr>
          <w:rFonts w:ascii="Palatino Linotype" w:eastAsia="Palatino Linotype" w:hAnsi="Palatino Linotype" w:cs="Palatino Linotype"/>
          <w:color w:val="000000"/>
        </w:rPr>
        <w:t xml:space="preserve">el vocablo </w:t>
      </w:r>
      <w:r>
        <w:rPr>
          <w:rFonts w:ascii="Palatino Linotype" w:eastAsia="Palatino Linotype" w:hAnsi="Palatino Linotype" w:cs="Palatino Linotype"/>
          <w:color w:val="000000"/>
        </w:rPr>
        <w:t>“noventa” por “sesenta”</w:t>
      </w:r>
    </w:p>
    <w:p w:rsidR="00A90479" w:rsidRPr="003F4FE5" w:rsidRDefault="00A90479" w:rsidP="00976D17">
      <w:pPr>
        <w:pStyle w:val="Prrafodelista"/>
        <w:pBdr>
          <w:top w:val="nil"/>
          <w:left w:val="nil"/>
          <w:bottom w:val="nil"/>
          <w:right w:val="nil"/>
          <w:between w:val="nil"/>
        </w:pBdr>
        <w:ind w:left="780" w:right="-138"/>
        <w:jc w:val="both"/>
        <w:rPr>
          <w:rFonts w:ascii="Palatino Linotype" w:eastAsia="Palatino Linotype" w:hAnsi="Palatino Linotype" w:cs="Palatino Linotype"/>
          <w:color w:val="000000"/>
          <w:sz w:val="16"/>
          <w:szCs w:val="16"/>
        </w:rPr>
      </w:pPr>
    </w:p>
    <w:p w:rsidR="00E17259" w:rsidRDefault="00E17259"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sidRPr="00E17259">
        <w:rPr>
          <w:rFonts w:ascii="Palatino Linotype" w:eastAsia="Palatino Linotype" w:hAnsi="Palatino Linotype" w:cs="Palatino Linotype"/>
          <w:color w:val="000000"/>
        </w:rPr>
        <w:t xml:space="preserve">Sustitúyase en el número 5, la frase “se podrá solicitar su regularización siempre que se acompañe un estudio de riesgo que determine las obras que deben ejecutarse para mitigarlo y permitir su utilización” por la expresión “se podrán regularizar siempre que se ejecuten </w:t>
      </w:r>
      <w:r w:rsidR="007C51D0">
        <w:rPr>
          <w:rFonts w:ascii="Palatino Linotype" w:eastAsia="Palatino Linotype" w:hAnsi="Palatino Linotype" w:cs="Palatino Linotype"/>
          <w:color w:val="000000"/>
        </w:rPr>
        <w:t xml:space="preserve">las </w:t>
      </w:r>
      <w:r w:rsidRPr="00E17259">
        <w:rPr>
          <w:rFonts w:ascii="Palatino Linotype" w:eastAsia="Palatino Linotype" w:hAnsi="Palatino Linotype" w:cs="Palatino Linotype"/>
          <w:color w:val="000000"/>
        </w:rPr>
        <w:t>obras de mitigación</w:t>
      </w:r>
      <w:r w:rsidR="00FE5687">
        <w:rPr>
          <w:rFonts w:ascii="Palatino Linotype" w:eastAsia="Palatino Linotype" w:hAnsi="Palatino Linotype" w:cs="Palatino Linotype"/>
          <w:color w:val="000000"/>
        </w:rPr>
        <w:t xml:space="preserve"> que fuesen necesarias para permitir</w:t>
      </w:r>
      <w:r w:rsidRPr="00E17259">
        <w:rPr>
          <w:rFonts w:ascii="Palatino Linotype" w:eastAsia="Palatino Linotype" w:hAnsi="Palatino Linotype" w:cs="Palatino Linotype"/>
          <w:color w:val="000000"/>
        </w:rPr>
        <w:t xml:space="preserve"> su utilización”</w:t>
      </w:r>
    </w:p>
    <w:p w:rsidR="00E042E9" w:rsidRPr="003F4FE5" w:rsidRDefault="00E042E9"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E042E9" w:rsidRDefault="007C51D0"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Elimí</w:t>
      </w:r>
      <w:r w:rsidR="00E042E9">
        <w:rPr>
          <w:rFonts w:ascii="Palatino Linotype" w:eastAsia="Palatino Linotype" w:hAnsi="Palatino Linotype" w:cs="Palatino Linotype"/>
          <w:color w:val="000000"/>
        </w:rPr>
        <w:t>nese en el número 5</w:t>
      </w:r>
      <w:r>
        <w:rPr>
          <w:rFonts w:ascii="Palatino Linotype" w:eastAsia="Palatino Linotype" w:hAnsi="Palatino Linotype" w:cs="Palatino Linotype"/>
          <w:color w:val="000000"/>
        </w:rPr>
        <w:t>, la frase “para la elaboración de los referidos estudios y”</w:t>
      </w:r>
    </w:p>
    <w:p w:rsidR="00A90479" w:rsidRPr="003F4FE5" w:rsidRDefault="00A90479"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A90479" w:rsidRDefault="00632C05"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2.-</w:t>
      </w:r>
      <w:r w:rsidR="00A90479">
        <w:rPr>
          <w:rFonts w:ascii="Palatino Linotype" w:eastAsia="Palatino Linotype" w:hAnsi="Palatino Linotype" w:cs="Palatino Linotype"/>
          <w:color w:val="000000"/>
        </w:rPr>
        <w:t>En el artículo 3° letra a):</w:t>
      </w:r>
    </w:p>
    <w:p w:rsidR="00A90479" w:rsidRDefault="00A90479"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9D7E17">
        <w:rPr>
          <w:rFonts w:ascii="Palatino Linotype" w:eastAsia="Palatino Linotype" w:hAnsi="Palatino Linotype" w:cs="Palatino Linotype"/>
          <w:color w:val="000000"/>
        </w:rPr>
        <w:t>Sustitúyase el guarismo</w:t>
      </w:r>
      <w:r>
        <w:rPr>
          <w:rFonts w:ascii="Palatino Linotype" w:eastAsia="Palatino Linotype" w:hAnsi="Palatino Linotype" w:cs="Palatino Linotype"/>
          <w:color w:val="000000"/>
        </w:rPr>
        <w:t xml:space="preserve"> “20%” por </w:t>
      </w:r>
      <w:r w:rsidR="00FE5687">
        <w:rPr>
          <w:rFonts w:ascii="Palatino Linotype" w:eastAsia="Palatino Linotype" w:hAnsi="Palatino Linotype" w:cs="Palatino Linotype"/>
          <w:color w:val="000000"/>
        </w:rPr>
        <w:t>”15</w:t>
      </w:r>
      <w:r>
        <w:rPr>
          <w:rFonts w:ascii="Palatino Linotype" w:eastAsia="Palatino Linotype" w:hAnsi="Palatino Linotype" w:cs="Palatino Linotype"/>
          <w:color w:val="000000"/>
        </w:rPr>
        <w:t xml:space="preserve">%” y </w:t>
      </w:r>
      <w:r w:rsidR="009D7E17">
        <w:rPr>
          <w:rFonts w:ascii="Palatino Linotype" w:eastAsia="Palatino Linotype" w:hAnsi="Palatino Linotype" w:cs="Palatino Linotype"/>
          <w:color w:val="000000"/>
        </w:rPr>
        <w:t xml:space="preserve">el año </w:t>
      </w:r>
      <w:r>
        <w:rPr>
          <w:rFonts w:ascii="Palatino Linotype" w:eastAsia="Palatino Linotype" w:hAnsi="Palatino Linotype" w:cs="Palatino Linotype"/>
          <w:color w:val="000000"/>
        </w:rPr>
        <w:t>“2006” por “2014”</w:t>
      </w:r>
    </w:p>
    <w:p w:rsidR="00A90479" w:rsidRPr="003F4FE5" w:rsidRDefault="00A90479" w:rsidP="00976D17">
      <w:pPr>
        <w:pBdr>
          <w:top w:val="nil"/>
          <w:left w:val="nil"/>
          <w:bottom w:val="nil"/>
          <w:right w:val="nil"/>
          <w:between w:val="nil"/>
        </w:pBdr>
        <w:ind w:right="-138"/>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rPr>
        <w:t xml:space="preserve">        </w:t>
      </w:r>
    </w:p>
    <w:p w:rsidR="00611264" w:rsidRDefault="00A90479"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Reemplázase la referencia “conforme a</w:t>
      </w:r>
      <w:r w:rsidRPr="00A90479">
        <w:rPr>
          <w:rFonts w:ascii="Palatino Linotype" w:eastAsia="Palatino Linotype" w:hAnsi="Palatino Linotype" w:cs="Palatino Linotype"/>
          <w:color w:val="000000"/>
        </w:rPr>
        <w:t xml:space="preserve"> la ley N° 16.741” por “con</w:t>
      </w:r>
      <w:r>
        <w:rPr>
          <w:rFonts w:ascii="Palatino Linotype" w:eastAsia="Palatino Linotype" w:hAnsi="Palatino Linotype" w:cs="Palatino Linotype"/>
          <w:color w:val="000000"/>
        </w:rPr>
        <w:t>forme a</w:t>
      </w:r>
      <w:r w:rsidR="00611264">
        <w:rPr>
          <w:rFonts w:ascii="Palatino Linotype" w:eastAsia="Palatino Linotype" w:hAnsi="Palatino Linotype" w:cs="Palatino Linotype"/>
          <w:color w:val="000000"/>
        </w:rPr>
        <w:t xml:space="preserve"> la ley N° 16.741, el </w:t>
      </w:r>
    </w:p>
    <w:p w:rsidR="00A90479" w:rsidRDefault="00611264"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A90479" w:rsidRPr="00A90479">
        <w:rPr>
          <w:rFonts w:ascii="Palatino Linotype" w:eastAsia="Palatino Linotype" w:hAnsi="Palatino Linotype" w:cs="Palatino Linotype"/>
          <w:color w:val="000000"/>
        </w:rPr>
        <w:t>decreto ley N° 2.833, la ley N° 16.282 y la ley N° 18.138”</w:t>
      </w:r>
    </w:p>
    <w:p w:rsidR="00A90479" w:rsidRPr="003F4FE5" w:rsidRDefault="00A90479"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3714B0" w:rsidRDefault="00632C05"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3.-</w:t>
      </w:r>
      <w:r w:rsidR="003714B0" w:rsidRPr="001E3239">
        <w:rPr>
          <w:rFonts w:ascii="Palatino Linotype" w:eastAsia="Palatino Linotype" w:hAnsi="Palatino Linotype" w:cs="Palatino Linotype"/>
          <w:color w:val="000000"/>
        </w:rPr>
        <w:t>En el artículo 4°:</w:t>
      </w:r>
    </w:p>
    <w:p w:rsidR="003714B0" w:rsidRDefault="00E03E7B"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Agréguese en </w:t>
      </w:r>
      <w:r w:rsidR="003714B0">
        <w:rPr>
          <w:rFonts w:ascii="Palatino Linotype" w:eastAsia="Palatino Linotype" w:hAnsi="Palatino Linotype" w:cs="Palatino Linotype"/>
          <w:color w:val="000000"/>
        </w:rPr>
        <w:t xml:space="preserve">el inciso 1°, </w:t>
      </w:r>
      <w:r>
        <w:rPr>
          <w:rFonts w:ascii="Palatino Linotype" w:eastAsia="Palatino Linotype" w:hAnsi="Palatino Linotype" w:cs="Palatino Linotype"/>
          <w:color w:val="000000"/>
        </w:rPr>
        <w:t>después del punto final, la siguiente expresión</w:t>
      </w:r>
      <w:r w:rsidR="003714B0">
        <w:rPr>
          <w:rFonts w:ascii="Palatino Linotype" w:eastAsia="Palatino Linotype" w:hAnsi="Palatino Linotype" w:cs="Palatino Linotype"/>
          <w:color w:val="000000"/>
        </w:rPr>
        <w:t>:</w:t>
      </w:r>
    </w:p>
    <w:p w:rsidR="003714B0" w:rsidRDefault="003714B0"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“La Dirección de Obras Municipales podrá formular observaciones, dentro del plazo</w:t>
      </w:r>
      <w:r w:rsidR="00E03E7B">
        <w:rPr>
          <w:rFonts w:ascii="Palatino Linotype" w:eastAsia="Palatino Linotype" w:hAnsi="Palatino Linotype" w:cs="Palatino Linotype"/>
          <w:color w:val="000000"/>
        </w:rPr>
        <w:t xml:space="preserve"> de sesenta días</w:t>
      </w:r>
      <w:r>
        <w:rPr>
          <w:rFonts w:ascii="Palatino Linotype" w:eastAsia="Palatino Linotype" w:hAnsi="Palatino Linotype" w:cs="Palatino Linotype"/>
          <w:color w:val="000000"/>
        </w:rPr>
        <w:t>, con el objeto de exigir correcciones</w:t>
      </w:r>
      <w:r w:rsidR="00E03E7B">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o antecedentes faltantes</w:t>
      </w:r>
      <w:r w:rsidR="00E03E7B">
        <w:rPr>
          <w:rFonts w:ascii="Palatino Linotype" w:eastAsia="Palatino Linotype" w:hAnsi="Palatino Linotype" w:cs="Palatino Linotype"/>
          <w:color w:val="000000"/>
        </w:rPr>
        <w:t xml:space="preserve">. Una vez ingresadas las correcciones o los antecedentes faltantes, la Dirección de Obras tendrá el plazo de treinta días para aprobar o denegar la recepción provisoria o definitiva.” </w:t>
      </w:r>
    </w:p>
    <w:p w:rsidR="004C73DD" w:rsidRPr="003F4FE5" w:rsidRDefault="004C73DD"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4C73DD" w:rsidRDefault="004C73DD"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Agréguese en el inciso 4°, después de la frase “</w:t>
      </w:r>
      <w:r w:rsidRPr="004C73DD">
        <w:rPr>
          <w:rFonts w:ascii="Palatino Linotype" w:eastAsia="Palatino Linotype" w:hAnsi="Palatino Linotype" w:cs="Palatino Linotype"/>
          <w:color w:val="000000"/>
        </w:rPr>
        <w:t>Asimismo, esta Secretaría Regional Ministerial, por razones fundadas, podrá eximir al loteo de la obligación de cesiones contempladas en la mencionada Ley General de Urbanismo y Construcciones.</w:t>
      </w:r>
      <w:r>
        <w:rPr>
          <w:rFonts w:ascii="Palatino Linotype" w:eastAsia="Palatino Linotype" w:hAnsi="Palatino Linotype" w:cs="Palatino Linotype"/>
          <w:color w:val="000000"/>
        </w:rPr>
        <w:t>”, la frase “ Dicha Secretaría Regional Ministerial, tratándose de la r</w:t>
      </w:r>
      <w:r w:rsidRPr="004C73DD">
        <w:rPr>
          <w:rFonts w:ascii="Palatino Linotype" w:eastAsia="Palatino Linotype" w:hAnsi="Palatino Linotype" w:cs="Palatino Linotype"/>
          <w:color w:val="000000"/>
        </w:rPr>
        <w:t>egularización de edificaciones existentes o viviendas nuevas financiadas con subsidios Minvu</w:t>
      </w:r>
      <w:r>
        <w:rPr>
          <w:rFonts w:ascii="Palatino Linotype" w:eastAsia="Palatino Linotype" w:hAnsi="Palatino Linotype" w:cs="Palatino Linotype"/>
          <w:color w:val="000000"/>
        </w:rPr>
        <w:t xml:space="preserve">, podrá </w:t>
      </w:r>
      <w:r w:rsidRPr="004C73DD">
        <w:rPr>
          <w:rFonts w:ascii="Palatino Linotype" w:eastAsia="Palatino Linotype" w:hAnsi="Palatino Linotype" w:cs="Palatino Linotype"/>
          <w:color w:val="000000"/>
        </w:rPr>
        <w:t>eximir del cumplimiento de algunos requisitos urbanísticos, en caso que, por las condiciones del lote, no puedan ser aplicadas</w:t>
      </w:r>
      <w:r>
        <w:rPr>
          <w:rFonts w:ascii="Palatino Linotype" w:eastAsia="Palatino Linotype" w:hAnsi="Palatino Linotype" w:cs="Palatino Linotype"/>
          <w:color w:val="000000"/>
        </w:rPr>
        <w:t>.”</w:t>
      </w:r>
    </w:p>
    <w:p w:rsidR="009B7DAD" w:rsidRPr="003F4FE5" w:rsidRDefault="009B7DAD"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6C3A9B" w:rsidRDefault="009B7DAD"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Sustitúyase en el inciso 5° la frase “Si expirado el plazo fijado en el inciso primero no hubiere pronunciamiento por escrito del Director de Obras Municipales</w:t>
      </w:r>
      <w:r w:rsidR="006C3A9B">
        <w:rPr>
          <w:rFonts w:ascii="Palatino Linotype" w:eastAsia="Palatino Linotype" w:hAnsi="Palatino Linotype" w:cs="Palatino Linotype"/>
          <w:color w:val="000000"/>
        </w:rPr>
        <w:t>, o la recepción provisoria o definitiva del loteo, según corresponda, fuere denegada, el</w:t>
      </w:r>
      <w:r w:rsidR="006C3A9B" w:rsidRPr="006C3A9B">
        <w:rPr>
          <w:rFonts w:ascii="Palatino Linotype" w:eastAsia="Palatino Linotype" w:hAnsi="Palatino Linotype" w:cs="Palatino Linotype"/>
          <w:color w:val="000000"/>
        </w:rPr>
        <w:t xml:space="preserve"> interesado podrá reclamar ante la Secretaría Regional correspondiente del Ministerio de Vivienda y Urbanismo.</w:t>
      </w:r>
      <w:r w:rsidR="006C3A9B">
        <w:rPr>
          <w:rFonts w:ascii="Palatino Linotype" w:eastAsia="Palatino Linotype" w:hAnsi="Palatino Linotype" w:cs="Palatino Linotype"/>
          <w:color w:val="000000"/>
        </w:rPr>
        <w:t xml:space="preserve">” por la frase </w:t>
      </w:r>
      <w:r w:rsidR="006C3A9B">
        <w:rPr>
          <w:rFonts w:ascii="Palatino Linotype" w:eastAsia="Palatino Linotype" w:hAnsi="Palatino Linotype" w:cs="Palatino Linotype"/>
          <w:color w:val="000000"/>
        </w:rPr>
        <w:lastRenderedPageBreak/>
        <w:t>“</w:t>
      </w:r>
      <w:r w:rsidR="006C3A9B" w:rsidRPr="006C3A9B">
        <w:rPr>
          <w:rFonts w:ascii="Palatino Linotype" w:eastAsia="Palatino Linotype" w:hAnsi="Palatino Linotype" w:cs="Palatino Linotype"/>
          <w:color w:val="000000"/>
        </w:rPr>
        <w:t>Si expirado el plazo fijado en el inciso primero no hubiere pronunciamiento por escrito del Director de Obras Municipales, la recepción provisoria o definitiva se entenderán otorgadas por el solo ministerio de la ley.</w:t>
      </w:r>
      <w:r w:rsidR="006C3A9B">
        <w:rPr>
          <w:rFonts w:ascii="Palatino Linotype" w:eastAsia="Palatino Linotype" w:hAnsi="Palatino Linotype" w:cs="Palatino Linotype"/>
          <w:color w:val="000000"/>
        </w:rPr>
        <w:t xml:space="preserve"> Si la </w:t>
      </w:r>
      <w:r w:rsidR="006C3A9B" w:rsidRPr="006C3A9B">
        <w:rPr>
          <w:rFonts w:ascii="Palatino Linotype" w:eastAsia="Palatino Linotype" w:hAnsi="Palatino Linotype" w:cs="Palatino Linotype"/>
          <w:color w:val="000000"/>
        </w:rPr>
        <w:t>recepción provisoria o definitiva del loteo, según corresponda, fuere denegada, el interesado podrá reclamar ante la Secretaría Regional correspondiente del Ministerio de Vivienda y Urbanismo</w:t>
      </w:r>
      <w:r w:rsidR="006C3A9B">
        <w:rPr>
          <w:rFonts w:ascii="Palatino Linotype" w:eastAsia="Palatino Linotype" w:hAnsi="Palatino Linotype" w:cs="Palatino Linotype"/>
          <w:color w:val="000000"/>
        </w:rPr>
        <w:t>.”</w:t>
      </w:r>
    </w:p>
    <w:p w:rsidR="006C3A9B" w:rsidRPr="003F4FE5" w:rsidRDefault="006C3A9B"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6C3A9B" w:rsidRDefault="006C3A9B"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Sustitúyase en el inciso</w:t>
      </w:r>
      <w:r w:rsidR="00B14461">
        <w:rPr>
          <w:rFonts w:ascii="Palatino Linotype" w:eastAsia="Palatino Linotype" w:hAnsi="Palatino Linotype" w:cs="Palatino Linotype"/>
          <w:color w:val="000000"/>
        </w:rPr>
        <w:t xml:space="preserve"> 7° la frase “Si expirado este plazo no hubiere pronunciamiento por escrito del Director de Obras Municipales, o la recepción definitiva del loteo fuere denegada, el interesado podrá reclamar </w:t>
      </w:r>
      <w:r w:rsidR="00B14461" w:rsidRPr="00B14461">
        <w:rPr>
          <w:rFonts w:ascii="Palatino Linotype" w:eastAsia="Palatino Linotype" w:hAnsi="Palatino Linotype" w:cs="Palatino Linotype"/>
          <w:color w:val="000000"/>
        </w:rPr>
        <w:t>ante la Secretaría Regional correspondiente del Min</w:t>
      </w:r>
      <w:r w:rsidR="00B14461">
        <w:rPr>
          <w:rFonts w:ascii="Palatino Linotype" w:eastAsia="Palatino Linotype" w:hAnsi="Palatino Linotype" w:cs="Palatino Linotype"/>
          <w:color w:val="000000"/>
        </w:rPr>
        <w:t>isterio de Vivienda y Urbanismo, sujetándose al procedimiento señalado en el inciso quinto.” Por la frase “</w:t>
      </w:r>
      <w:r w:rsidR="00B14461" w:rsidRPr="00B14461">
        <w:rPr>
          <w:rFonts w:ascii="Palatino Linotype" w:eastAsia="Palatino Linotype" w:hAnsi="Palatino Linotype" w:cs="Palatino Linotype"/>
          <w:color w:val="000000"/>
        </w:rPr>
        <w:t xml:space="preserve">Si expirado este plazo no hubiere pronunciamiento por escrito del Director de Obras Municipales, </w:t>
      </w:r>
      <w:r w:rsidR="00B14461">
        <w:rPr>
          <w:rFonts w:ascii="Palatino Linotype" w:eastAsia="Palatino Linotype" w:hAnsi="Palatino Linotype" w:cs="Palatino Linotype"/>
          <w:color w:val="000000"/>
        </w:rPr>
        <w:t>la recepción definitiva se entenderá otorgada por el solo ministerio de la ley</w:t>
      </w:r>
      <w:r w:rsidR="00632C05">
        <w:rPr>
          <w:rFonts w:ascii="Palatino Linotype" w:eastAsia="Palatino Linotype" w:hAnsi="Palatino Linotype" w:cs="Palatino Linotype"/>
          <w:color w:val="000000"/>
        </w:rPr>
        <w:t>. Si la</w:t>
      </w:r>
      <w:r w:rsidR="00B14461" w:rsidRPr="00B14461">
        <w:rPr>
          <w:rFonts w:ascii="Palatino Linotype" w:eastAsia="Palatino Linotype" w:hAnsi="Palatino Linotype" w:cs="Palatino Linotype"/>
          <w:color w:val="000000"/>
        </w:rPr>
        <w:t xml:space="preserve"> recepción definitiva del loteo fuere denegada, el interesado podrá reclamar ante la Secretaría Regional correspondiente del Ministerio de Vivienda y Urbanismo, sujetándose al procedimiento señalado en el inciso quinto</w:t>
      </w:r>
      <w:r w:rsidR="00632C05">
        <w:rPr>
          <w:rFonts w:ascii="Palatino Linotype" w:eastAsia="Palatino Linotype" w:hAnsi="Palatino Linotype" w:cs="Palatino Linotype"/>
          <w:color w:val="000000"/>
        </w:rPr>
        <w:t>.”</w:t>
      </w:r>
    </w:p>
    <w:p w:rsidR="004C73DD" w:rsidRPr="003F4FE5" w:rsidRDefault="004C73DD"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4C73DD" w:rsidRDefault="004C73DD"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Agréguese en el inciso 6°, después del punto final, la siguiente expresión: </w:t>
      </w:r>
    </w:p>
    <w:p w:rsidR="004C73DD" w:rsidRDefault="004C73DD"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“En todo caso, si un p</w:t>
      </w:r>
      <w:r w:rsidRPr="004C73DD">
        <w:rPr>
          <w:rFonts w:ascii="Palatino Linotype" w:eastAsia="Palatino Linotype" w:hAnsi="Palatino Linotype" w:cs="Palatino Linotype"/>
          <w:color w:val="000000"/>
        </w:rPr>
        <w:t>royecto de loteo c</w:t>
      </w:r>
      <w:r>
        <w:rPr>
          <w:rFonts w:ascii="Palatino Linotype" w:eastAsia="Palatino Linotype" w:hAnsi="Palatino Linotype" w:cs="Palatino Linotype"/>
          <w:color w:val="000000"/>
        </w:rPr>
        <w:t>on recepción provisoria requiere</w:t>
      </w:r>
      <w:r w:rsidRPr="004C73DD">
        <w:rPr>
          <w:rFonts w:ascii="Palatino Linotype" w:eastAsia="Palatino Linotype" w:hAnsi="Palatino Linotype" w:cs="Palatino Linotype"/>
          <w:color w:val="000000"/>
        </w:rPr>
        <w:t xml:space="preserve"> de modificaciones, </w:t>
      </w:r>
      <w:r>
        <w:rPr>
          <w:rFonts w:ascii="Palatino Linotype" w:eastAsia="Palatino Linotype" w:hAnsi="Palatino Linotype" w:cs="Palatino Linotype"/>
          <w:color w:val="000000"/>
        </w:rPr>
        <w:t>se podrán</w:t>
      </w:r>
      <w:r w:rsidR="003F4FE5">
        <w:rPr>
          <w:rFonts w:ascii="Palatino Linotype" w:eastAsia="Palatino Linotype" w:hAnsi="Palatino Linotype" w:cs="Palatino Linotype"/>
          <w:color w:val="000000"/>
        </w:rPr>
        <w:t xml:space="preserve"> presentar éstas</w:t>
      </w:r>
      <w:r w:rsidRPr="004C73DD">
        <w:rPr>
          <w:rFonts w:ascii="Palatino Linotype" w:eastAsia="Palatino Linotype" w:hAnsi="Palatino Linotype" w:cs="Palatino Linotype"/>
          <w:color w:val="000000"/>
        </w:rPr>
        <w:t>, antes del trámite de recepción definitiva.</w:t>
      </w:r>
      <w:r>
        <w:rPr>
          <w:rFonts w:ascii="Palatino Linotype" w:eastAsia="Palatino Linotype" w:hAnsi="Palatino Linotype" w:cs="Palatino Linotype"/>
          <w:color w:val="000000"/>
        </w:rPr>
        <w:t>”</w:t>
      </w:r>
    </w:p>
    <w:p w:rsidR="00857252" w:rsidRPr="003F4FE5" w:rsidRDefault="00857252"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857252" w:rsidRDefault="00857252"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Agréguese en el inciso 8°</w:t>
      </w:r>
      <w:r w:rsidRPr="00857252">
        <w:rPr>
          <w:rFonts w:ascii="Palatino Linotype" w:eastAsia="Palatino Linotype" w:hAnsi="Palatino Linotype" w:cs="Palatino Linotype"/>
          <w:color w:val="000000"/>
        </w:rPr>
        <w:t>, después del punto final, la siguiente expresión:</w:t>
      </w:r>
    </w:p>
    <w:p w:rsidR="00857252" w:rsidRDefault="00857252"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“Con todo, </w:t>
      </w:r>
      <w:r w:rsidRPr="00857252">
        <w:rPr>
          <w:rFonts w:ascii="Palatino Linotype" w:eastAsia="Palatino Linotype" w:hAnsi="Palatino Linotype" w:cs="Palatino Linotype"/>
          <w:color w:val="000000"/>
        </w:rPr>
        <w:t>en el caso que se haya cumplido con, al menos el 50% de la pavimentación del loteo, los Directores</w:t>
      </w:r>
      <w:r>
        <w:rPr>
          <w:rFonts w:ascii="Palatino Linotype" w:eastAsia="Palatino Linotype" w:hAnsi="Palatino Linotype" w:cs="Palatino Linotype"/>
          <w:color w:val="000000"/>
        </w:rPr>
        <w:t xml:space="preserve"> de Obras podrán</w:t>
      </w:r>
      <w:r w:rsidRPr="00857252">
        <w:rPr>
          <w:rFonts w:ascii="Palatino Linotype" w:eastAsia="Palatino Linotype" w:hAnsi="Palatino Linotype" w:cs="Palatino Linotype"/>
          <w:color w:val="000000"/>
        </w:rPr>
        <w:t xml:space="preserve"> otorgar la recepción definitiva, bajo la condición de que los interesados presenten un proyecto </w:t>
      </w:r>
      <w:r w:rsidR="00D9047A">
        <w:rPr>
          <w:rFonts w:ascii="Palatino Linotype" w:eastAsia="Palatino Linotype" w:hAnsi="Palatino Linotype" w:cs="Palatino Linotype"/>
          <w:color w:val="000000"/>
        </w:rPr>
        <w:t>de pavimentación participativa</w:t>
      </w:r>
      <w:r w:rsidRPr="00857252">
        <w:rPr>
          <w:rFonts w:ascii="Palatino Linotype" w:eastAsia="Palatino Linotype" w:hAnsi="Palatino Linotype" w:cs="Palatino Linotype"/>
          <w:color w:val="000000"/>
        </w:rPr>
        <w:t>, aprobado por la Secretaría Regional Ministerial de Vivienda y Ur</w:t>
      </w:r>
      <w:r w:rsidR="00D9047A">
        <w:rPr>
          <w:rFonts w:ascii="Palatino Linotype" w:eastAsia="Palatino Linotype" w:hAnsi="Palatino Linotype" w:cs="Palatino Linotype"/>
          <w:color w:val="000000"/>
        </w:rPr>
        <w:t>banismo respectiva,</w:t>
      </w:r>
      <w:r w:rsidR="00D9047A" w:rsidRPr="00D9047A">
        <w:t xml:space="preserve"> </w:t>
      </w:r>
      <w:r w:rsidR="00D9047A" w:rsidRPr="00D9047A">
        <w:rPr>
          <w:rFonts w:ascii="Palatino Linotype" w:eastAsia="Palatino Linotype" w:hAnsi="Palatino Linotype" w:cs="Palatino Linotype"/>
          <w:color w:val="000000"/>
        </w:rPr>
        <w:t>destinado a completar la pavimentación faltante</w:t>
      </w:r>
      <w:r w:rsidR="00AE6188">
        <w:rPr>
          <w:rFonts w:ascii="Palatino Linotype" w:eastAsia="Palatino Linotype" w:hAnsi="Palatino Linotype" w:cs="Palatino Linotype"/>
          <w:color w:val="000000"/>
        </w:rPr>
        <w:t>,</w:t>
      </w:r>
      <w:r w:rsidR="003A4A8B">
        <w:rPr>
          <w:rFonts w:ascii="Palatino Linotype" w:eastAsia="Palatino Linotype" w:hAnsi="Palatino Linotype" w:cs="Palatino Linotype"/>
          <w:color w:val="000000"/>
        </w:rPr>
        <w:t xml:space="preserve"> otorgándose a é</w:t>
      </w:r>
      <w:r w:rsidR="00AE6188">
        <w:rPr>
          <w:rFonts w:ascii="Palatino Linotype" w:eastAsia="Palatino Linotype" w:hAnsi="Palatino Linotype" w:cs="Palatino Linotype"/>
          <w:color w:val="000000"/>
        </w:rPr>
        <w:t>ste</w:t>
      </w:r>
      <w:r w:rsidR="003A4A8B">
        <w:rPr>
          <w:rFonts w:ascii="Palatino Linotype" w:eastAsia="Palatino Linotype" w:hAnsi="Palatino Linotype" w:cs="Palatino Linotype"/>
          <w:color w:val="000000"/>
        </w:rPr>
        <w:t>,</w:t>
      </w:r>
      <w:r w:rsidR="00AE6188">
        <w:rPr>
          <w:rFonts w:ascii="Palatino Linotype" w:eastAsia="Palatino Linotype" w:hAnsi="Palatino Linotype" w:cs="Palatino Linotype"/>
          <w:color w:val="000000"/>
        </w:rPr>
        <w:t xml:space="preserve"> prioridad en el más próximo concurso.</w:t>
      </w:r>
      <w:r w:rsidR="003A4A8B">
        <w:rPr>
          <w:rFonts w:ascii="Palatino Linotype" w:eastAsia="Palatino Linotype" w:hAnsi="Palatino Linotype" w:cs="Palatino Linotype"/>
          <w:color w:val="000000"/>
        </w:rPr>
        <w:t>”</w:t>
      </w:r>
    </w:p>
    <w:p w:rsidR="003F5EFA" w:rsidRPr="003F4FE5" w:rsidRDefault="003F5EFA" w:rsidP="00976D17">
      <w:pPr>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3F5EFA" w:rsidRDefault="001E3239"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4</w:t>
      </w:r>
      <w:r w:rsidR="003F5EFA">
        <w:rPr>
          <w:rFonts w:ascii="Palatino Linotype" w:eastAsia="Palatino Linotype" w:hAnsi="Palatino Linotype" w:cs="Palatino Linotype"/>
          <w:color w:val="000000"/>
        </w:rPr>
        <w:t>.- En el artículo 5°:</w:t>
      </w:r>
    </w:p>
    <w:p w:rsidR="004C73DD" w:rsidRDefault="00C43E33"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3F5EFA">
        <w:rPr>
          <w:rFonts w:ascii="Palatino Linotype" w:eastAsia="Palatino Linotype" w:hAnsi="Palatino Linotype" w:cs="Palatino Linotype"/>
          <w:color w:val="000000"/>
        </w:rPr>
        <w:t>Agréguese</w:t>
      </w:r>
      <w:r w:rsidR="003F5EFA" w:rsidRPr="003F5EFA">
        <w:rPr>
          <w:rFonts w:ascii="Palatino Linotype" w:eastAsia="Palatino Linotype" w:hAnsi="Palatino Linotype" w:cs="Palatino Linotype"/>
          <w:color w:val="000000"/>
        </w:rPr>
        <w:t>, después del punto final, la siguiente expresión:</w:t>
      </w:r>
    </w:p>
    <w:p w:rsidR="003F5EFA" w:rsidRPr="003714B0" w:rsidRDefault="003F5EFA"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t>“</w:t>
      </w:r>
      <w:r w:rsidRPr="003F5EFA">
        <w:rPr>
          <w:rFonts w:ascii="Palatino Linotype" w:hAnsi="Palatino Linotype"/>
        </w:rPr>
        <w:t xml:space="preserve">Dichas </w:t>
      </w:r>
      <w:r w:rsidRPr="003F5EFA">
        <w:rPr>
          <w:rFonts w:ascii="Palatino Linotype" w:eastAsia="Palatino Linotype" w:hAnsi="Palatino Linotype" w:cs="Palatino Linotype"/>
          <w:color w:val="000000"/>
        </w:rPr>
        <w:t>servidumbre</w:t>
      </w:r>
      <w:r w:rsidR="00CF1BB1">
        <w:rPr>
          <w:rFonts w:ascii="Palatino Linotype" w:eastAsia="Palatino Linotype" w:hAnsi="Palatino Linotype" w:cs="Palatino Linotype"/>
          <w:color w:val="000000"/>
        </w:rPr>
        <w:t>s tendrán</w:t>
      </w:r>
      <w:r>
        <w:rPr>
          <w:rFonts w:ascii="Palatino Linotype" w:eastAsia="Palatino Linotype" w:hAnsi="Palatino Linotype" w:cs="Palatino Linotype"/>
          <w:color w:val="000000"/>
        </w:rPr>
        <w:t xml:space="preserve"> el carácter de</w:t>
      </w:r>
      <w:r w:rsidRPr="003F5EFA">
        <w:rPr>
          <w:rFonts w:ascii="Palatino Linotype" w:eastAsia="Palatino Linotype" w:hAnsi="Palatino Linotype" w:cs="Palatino Linotype"/>
          <w:color w:val="000000"/>
        </w:rPr>
        <w:t xml:space="preserve"> legal</w:t>
      </w:r>
      <w:r>
        <w:rPr>
          <w:rFonts w:ascii="Palatino Linotype" w:eastAsia="Palatino Linotype" w:hAnsi="Palatino Linotype" w:cs="Palatino Linotype"/>
          <w:color w:val="000000"/>
        </w:rPr>
        <w:t>es, debiendo</w:t>
      </w:r>
      <w:r w:rsidRPr="003F5EFA">
        <w:rPr>
          <w:rFonts w:ascii="Palatino Linotype" w:eastAsia="Palatino Linotype" w:hAnsi="Palatino Linotype" w:cs="Palatino Linotype"/>
          <w:color w:val="000000"/>
        </w:rPr>
        <w:t xml:space="preserve"> el Conservador de Bienes Raíces anotar marginalmente el gravamen, con la sola presentación de la recepción provisoria.</w:t>
      </w:r>
      <w:r>
        <w:rPr>
          <w:rFonts w:ascii="Palatino Linotype" w:eastAsia="Palatino Linotype" w:hAnsi="Palatino Linotype" w:cs="Palatino Linotype"/>
          <w:color w:val="000000"/>
        </w:rPr>
        <w:t xml:space="preserve"> Las </w:t>
      </w:r>
      <w:r w:rsidRPr="003F5EFA">
        <w:rPr>
          <w:rFonts w:ascii="Palatino Linotype" w:eastAsia="Palatino Linotype" w:hAnsi="Palatino Linotype" w:cs="Palatino Linotype"/>
          <w:color w:val="000000"/>
        </w:rPr>
        <w:t>servidumbres no se entenderán cance</w:t>
      </w:r>
      <w:r>
        <w:rPr>
          <w:rFonts w:ascii="Palatino Linotype" w:eastAsia="Palatino Linotype" w:hAnsi="Palatino Linotype" w:cs="Palatino Linotype"/>
          <w:color w:val="000000"/>
        </w:rPr>
        <w:t>ladas por el transcurso de los dos</w:t>
      </w:r>
      <w:r w:rsidRPr="003F5EFA">
        <w:rPr>
          <w:rFonts w:ascii="Palatino Linotype" w:eastAsia="Palatino Linotype" w:hAnsi="Palatino Linotype" w:cs="Palatino Linotype"/>
          <w:color w:val="000000"/>
        </w:rPr>
        <w:t xml:space="preserve"> años que señ</w:t>
      </w:r>
      <w:r>
        <w:rPr>
          <w:rFonts w:ascii="Palatino Linotype" w:eastAsia="Palatino Linotype" w:hAnsi="Palatino Linotype" w:cs="Palatino Linotype"/>
          <w:color w:val="000000"/>
        </w:rPr>
        <w:t>ala el artículo 16 del Decreto L</w:t>
      </w:r>
      <w:r w:rsidRPr="003F5EFA">
        <w:rPr>
          <w:rFonts w:ascii="Palatino Linotype" w:eastAsia="Palatino Linotype" w:hAnsi="Palatino Linotype" w:cs="Palatino Linotype"/>
          <w:color w:val="000000"/>
        </w:rPr>
        <w:t>ey 2.695.</w:t>
      </w:r>
    </w:p>
    <w:p w:rsidR="00E17259" w:rsidRPr="003F4FE5" w:rsidRDefault="001E3239" w:rsidP="00976D17">
      <w:pPr>
        <w:pStyle w:val="Prrafodelista"/>
        <w:pBdr>
          <w:top w:val="nil"/>
          <w:left w:val="nil"/>
          <w:bottom w:val="nil"/>
          <w:right w:val="nil"/>
          <w:between w:val="nil"/>
        </w:pBdr>
        <w:ind w:left="780" w:right="-138"/>
        <w:jc w:val="both"/>
        <w:rPr>
          <w:rFonts w:ascii="Palatino Linotype" w:eastAsia="Palatino Linotype" w:hAnsi="Palatino Linotype" w:cs="Palatino Linotype"/>
          <w:color w:val="000000"/>
          <w:sz w:val="16"/>
          <w:szCs w:val="16"/>
        </w:rPr>
      </w:pPr>
      <w:r>
        <w:rPr>
          <w:rFonts w:ascii="Palatino Linotype" w:eastAsia="Palatino Linotype" w:hAnsi="Palatino Linotype" w:cs="Palatino Linotype"/>
          <w:color w:val="000000"/>
        </w:rPr>
        <w:t xml:space="preserve">    </w:t>
      </w:r>
    </w:p>
    <w:p w:rsidR="00AD170F" w:rsidRDefault="00632C05"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5.-</w:t>
      </w:r>
      <w:r w:rsidR="001E3239">
        <w:rPr>
          <w:rFonts w:ascii="Palatino Linotype" w:eastAsia="Palatino Linotype" w:hAnsi="Palatino Linotype" w:cs="Palatino Linotype"/>
          <w:color w:val="000000"/>
        </w:rPr>
        <w:t xml:space="preserve"> </w:t>
      </w:r>
      <w:r w:rsidR="00FF6A83" w:rsidRPr="001E3239">
        <w:rPr>
          <w:rFonts w:ascii="Palatino Linotype" w:eastAsia="Palatino Linotype" w:hAnsi="Palatino Linotype" w:cs="Palatino Linotype"/>
          <w:color w:val="000000"/>
        </w:rPr>
        <w:t>En el artículo 6</w:t>
      </w:r>
      <w:r w:rsidR="00AD170F" w:rsidRPr="001E3239">
        <w:rPr>
          <w:rFonts w:ascii="Palatino Linotype" w:eastAsia="Palatino Linotype" w:hAnsi="Palatino Linotype" w:cs="Palatino Linotype"/>
          <w:color w:val="000000"/>
        </w:rPr>
        <w:t>º:</w:t>
      </w:r>
    </w:p>
    <w:p w:rsidR="00611264" w:rsidRDefault="00C43E33"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FF6A83" w:rsidRPr="00C43E33">
        <w:rPr>
          <w:rFonts w:ascii="Palatino Linotype" w:eastAsia="Palatino Linotype" w:hAnsi="Palatino Linotype" w:cs="Palatino Linotype"/>
          <w:color w:val="000000"/>
        </w:rPr>
        <w:t>Reemplázase en el inciso primero la referencia</w:t>
      </w:r>
      <w:r w:rsidR="000B4FD2" w:rsidRPr="00C43E33">
        <w:rPr>
          <w:rFonts w:ascii="Palatino Linotype" w:eastAsia="Palatino Linotype" w:hAnsi="Palatino Linotype" w:cs="Palatino Linotype"/>
          <w:color w:val="000000"/>
        </w:rPr>
        <w:t xml:space="preserve"> </w:t>
      </w:r>
      <w:r w:rsidR="00FF6A83" w:rsidRPr="00C43E33">
        <w:rPr>
          <w:rFonts w:ascii="Palatino Linotype" w:eastAsia="Palatino Linotype" w:hAnsi="Palatino Linotype" w:cs="Palatino Linotype"/>
          <w:color w:val="000000"/>
        </w:rPr>
        <w:t>“</w:t>
      </w:r>
      <w:r w:rsidR="000B4FD2" w:rsidRPr="00C43E33">
        <w:rPr>
          <w:rFonts w:ascii="Palatino Linotype" w:eastAsia="Palatino Linotype" w:hAnsi="Palatino Linotype" w:cs="Palatino Linotype"/>
          <w:color w:val="000000"/>
        </w:rPr>
        <w:t xml:space="preserve">con </w:t>
      </w:r>
      <w:r w:rsidR="00FF6A83" w:rsidRPr="00C43E33">
        <w:rPr>
          <w:rFonts w:ascii="Palatino Linotype" w:eastAsia="Palatino Linotype" w:hAnsi="Palatino Linotype" w:cs="Palatino Linotype"/>
          <w:color w:val="000000"/>
        </w:rPr>
        <w:t>la ley N° 16.741” por “</w:t>
      </w:r>
      <w:r w:rsidR="000B4FD2" w:rsidRPr="00C43E33">
        <w:rPr>
          <w:rFonts w:ascii="Palatino Linotype" w:eastAsia="Palatino Linotype" w:hAnsi="Palatino Linotype" w:cs="Palatino Linotype"/>
          <w:color w:val="000000"/>
        </w:rPr>
        <w:t>con la ley</w:t>
      </w:r>
      <w:r w:rsidR="00FF6A83" w:rsidRPr="00C43E33">
        <w:rPr>
          <w:rFonts w:ascii="Palatino Linotype" w:eastAsia="Palatino Linotype" w:hAnsi="Palatino Linotype" w:cs="Palatino Linotype"/>
          <w:color w:val="000000"/>
        </w:rPr>
        <w:t xml:space="preserve"> N° </w:t>
      </w:r>
    </w:p>
    <w:p w:rsidR="00FF6A83" w:rsidRPr="00C43E33" w:rsidRDefault="00611264"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C43E33">
        <w:rPr>
          <w:rFonts w:ascii="Palatino Linotype" w:eastAsia="Palatino Linotype" w:hAnsi="Palatino Linotype" w:cs="Palatino Linotype"/>
          <w:color w:val="000000"/>
        </w:rPr>
        <w:t>16.741</w:t>
      </w:r>
      <w:r w:rsidR="003A4A8B">
        <w:rPr>
          <w:rFonts w:ascii="Palatino Linotype" w:eastAsia="Palatino Linotype" w:hAnsi="Palatino Linotype" w:cs="Palatino Linotype"/>
          <w:color w:val="000000"/>
        </w:rPr>
        <w:t>,</w:t>
      </w:r>
      <w:r w:rsidR="000B4FD2" w:rsidRPr="00C43E33">
        <w:rPr>
          <w:rFonts w:ascii="Palatino Linotype" w:eastAsia="Palatino Linotype" w:hAnsi="Palatino Linotype" w:cs="Palatino Linotype"/>
          <w:color w:val="000000"/>
        </w:rPr>
        <w:t xml:space="preserve"> el decreto ley N° 2.833, la ley N° 16.282 y la ley N° 18.138”</w:t>
      </w:r>
      <w:r w:rsidR="00C43E33">
        <w:rPr>
          <w:rFonts w:ascii="Palatino Linotype" w:eastAsia="Palatino Linotype" w:hAnsi="Palatino Linotype" w:cs="Palatino Linotype"/>
          <w:color w:val="000000"/>
        </w:rPr>
        <w:t xml:space="preserve">   </w:t>
      </w:r>
    </w:p>
    <w:p w:rsidR="00791335" w:rsidRPr="003F4FE5" w:rsidRDefault="0079133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791335" w:rsidRDefault="0079133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Agréguese, después del inciso 2°, el siguiente inciso 3°, nuevo:</w:t>
      </w:r>
    </w:p>
    <w:p w:rsidR="00791335" w:rsidRDefault="0079133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recepción definitiva parcial procederá cuando </w:t>
      </w:r>
      <w:r w:rsidR="00AE6188">
        <w:rPr>
          <w:rFonts w:ascii="Palatino Linotype" w:eastAsia="Palatino Linotype" w:hAnsi="Palatino Linotype" w:cs="Palatino Linotype"/>
          <w:color w:val="000000"/>
        </w:rPr>
        <w:t>una parte del loteo pueda</w:t>
      </w:r>
      <w:r w:rsidRPr="00791335">
        <w:rPr>
          <w:rFonts w:ascii="Palatino Linotype" w:eastAsia="Palatino Linotype" w:hAnsi="Palatino Linotype" w:cs="Palatino Linotype"/>
          <w:color w:val="000000"/>
        </w:rPr>
        <w:t xml:space="preserve"> habilitarse</w:t>
      </w:r>
      <w:r>
        <w:rPr>
          <w:rFonts w:ascii="Palatino Linotype" w:eastAsia="Palatino Linotype" w:hAnsi="Palatino Linotype" w:cs="Palatino Linotype"/>
          <w:color w:val="000000"/>
        </w:rPr>
        <w:t xml:space="preserve"> de manera independiente, debido a que se </w:t>
      </w:r>
      <w:r w:rsidRPr="00791335">
        <w:rPr>
          <w:rFonts w:ascii="Palatino Linotype" w:eastAsia="Palatino Linotype" w:hAnsi="Palatino Linotype" w:cs="Palatino Linotype"/>
          <w:color w:val="000000"/>
        </w:rPr>
        <w:t>han ejecutado las respectivas obras de</w:t>
      </w:r>
      <w:r>
        <w:rPr>
          <w:rFonts w:ascii="Palatino Linotype" w:eastAsia="Palatino Linotype" w:hAnsi="Palatino Linotype" w:cs="Palatino Linotype"/>
          <w:color w:val="000000"/>
        </w:rPr>
        <w:t xml:space="preserve"> urbanización,</w:t>
      </w:r>
      <w:r w:rsidRPr="00791335">
        <w:rPr>
          <w:rFonts w:ascii="Palatino Linotype" w:eastAsia="Palatino Linotype" w:hAnsi="Palatino Linotype" w:cs="Palatino Linotype"/>
          <w:color w:val="000000"/>
        </w:rPr>
        <w:t xml:space="preserve"> </w:t>
      </w:r>
      <w:r>
        <w:rPr>
          <w:rFonts w:ascii="Palatino Linotype" w:eastAsia="Palatino Linotype" w:hAnsi="Palatino Linotype" w:cs="Palatino Linotype"/>
          <w:color w:val="000000"/>
        </w:rPr>
        <w:t>debiendo aplicarse</w:t>
      </w:r>
      <w:r w:rsidRPr="00791335">
        <w:rPr>
          <w:rFonts w:ascii="Palatino Linotype" w:eastAsia="Palatino Linotype" w:hAnsi="Palatino Linotype" w:cs="Palatino Linotype"/>
          <w:color w:val="000000"/>
        </w:rPr>
        <w:t xml:space="preserve"> la regla general contenida en el</w:t>
      </w:r>
      <w:r>
        <w:rPr>
          <w:rFonts w:ascii="Palatino Linotype" w:eastAsia="Palatino Linotype" w:hAnsi="Palatino Linotype" w:cs="Palatino Linotype"/>
          <w:color w:val="000000"/>
        </w:rPr>
        <w:t xml:space="preserve"> </w:t>
      </w:r>
      <w:r w:rsidRPr="00791335">
        <w:rPr>
          <w:rFonts w:ascii="Palatino Linotype" w:eastAsia="Palatino Linotype" w:hAnsi="Palatino Linotype" w:cs="Palatino Linotype"/>
          <w:color w:val="000000"/>
        </w:rPr>
        <w:t>inciso pri</w:t>
      </w:r>
      <w:r w:rsidR="003F4FE5">
        <w:rPr>
          <w:rFonts w:ascii="Palatino Linotype" w:eastAsia="Palatino Linotype" w:hAnsi="Palatino Linotype" w:cs="Palatino Linotype"/>
          <w:color w:val="000000"/>
        </w:rPr>
        <w:t>mero del artículo 144 de la Ley General de Urbanismo y Construcciones</w:t>
      </w:r>
      <w:r w:rsidRPr="00791335">
        <w:rPr>
          <w:rFonts w:ascii="Palatino Linotype" w:eastAsia="Palatino Linotype" w:hAnsi="Palatino Linotype" w:cs="Palatino Linotype"/>
          <w:color w:val="000000"/>
        </w:rPr>
        <w:t>.</w:t>
      </w:r>
      <w:r>
        <w:rPr>
          <w:rFonts w:ascii="Palatino Linotype" w:eastAsia="Palatino Linotype" w:hAnsi="Palatino Linotype" w:cs="Palatino Linotype"/>
          <w:color w:val="000000"/>
        </w:rPr>
        <w:t>”</w:t>
      </w:r>
    </w:p>
    <w:p w:rsidR="000B4FD2" w:rsidRPr="003F4FE5" w:rsidRDefault="000B4FD2"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sz w:val="16"/>
          <w:szCs w:val="16"/>
        </w:rPr>
      </w:pPr>
    </w:p>
    <w:p w:rsidR="000B4FD2" w:rsidRPr="00632C05" w:rsidRDefault="00632C05"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6.-</w:t>
      </w:r>
      <w:r w:rsidR="000B4FD2" w:rsidRPr="00632C05">
        <w:rPr>
          <w:rFonts w:ascii="Palatino Linotype" w:eastAsia="Palatino Linotype" w:hAnsi="Palatino Linotype" w:cs="Palatino Linotype"/>
          <w:color w:val="000000"/>
        </w:rPr>
        <w:t>En el artículo 7°:</w:t>
      </w:r>
    </w:p>
    <w:p w:rsidR="000B4FD2" w:rsidRPr="00C43E33" w:rsidRDefault="00C43E33"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r w:rsidR="000B4FD2" w:rsidRPr="00C43E33">
        <w:rPr>
          <w:rFonts w:ascii="Palatino Linotype" w:eastAsia="Palatino Linotype" w:hAnsi="Palatino Linotype" w:cs="Palatino Linotype"/>
          <w:color w:val="000000"/>
        </w:rPr>
        <w:t>Reemplázase la referencia “a la ley N° 16.741” por “a la ley N° 16.741, el decreto ley N° 2.833, la ley N° 16.282 y la ley N° 18.138”</w:t>
      </w:r>
    </w:p>
    <w:p w:rsidR="00D04A75" w:rsidRDefault="00D04A7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rPr>
      </w:pPr>
    </w:p>
    <w:p w:rsidR="009B7DAD" w:rsidRPr="00C43E33" w:rsidRDefault="00632C0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7.- </w:t>
      </w:r>
      <w:r w:rsidR="00D04A75">
        <w:rPr>
          <w:rFonts w:ascii="Palatino Linotype" w:eastAsia="Palatino Linotype" w:hAnsi="Palatino Linotype" w:cs="Palatino Linotype"/>
          <w:color w:val="000000"/>
        </w:rPr>
        <w:t>En el artículo 8°:</w:t>
      </w:r>
    </w:p>
    <w:p w:rsidR="000B4FD2" w:rsidRPr="00FF6A83" w:rsidRDefault="00D04A75" w:rsidP="00976D17">
      <w:pPr>
        <w:pStyle w:val="Prrafodelista"/>
        <w:pBdr>
          <w:top w:val="nil"/>
          <w:left w:val="nil"/>
          <w:bottom w:val="nil"/>
          <w:right w:val="nil"/>
          <w:between w:val="nil"/>
        </w:pBdr>
        <w:ind w:left="42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lastRenderedPageBreak/>
        <w:t>Agréguese, después del punto final, la siguiente expresión:</w:t>
      </w:r>
    </w:p>
    <w:p w:rsidR="00D04A75" w:rsidRDefault="00D04A75"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“Un</w:t>
      </w:r>
      <w:r w:rsidRPr="00D04A75">
        <w:rPr>
          <w:rFonts w:ascii="Palatino Linotype" w:eastAsia="Palatino Linotype" w:hAnsi="Palatino Linotype" w:cs="Palatino Linotype"/>
          <w:color w:val="000000"/>
        </w:rPr>
        <w:t xml:space="preserve">a vez que se realice la anotación marginal, se entenderá alzado el embargo y la condición </w:t>
      </w:r>
      <w:r>
        <w:rPr>
          <w:rFonts w:ascii="Palatino Linotype" w:eastAsia="Palatino Linotype" w:hAnsi="Palatino Linotype" w:cs="Palatino Linotype"/>
          <w:color w:val="000000"/>
        </w:rPr>
        <w:t xml:space="preserve">   </w:t>
      </w:r>
    </w:p>
    <w:p w:rsidR="00D04A75" w:rsidRDefault="00D04A75" w:rsidP="00976D17">
      <w:pPr>
        <w:pBdr>
          <w:top w:val="nil"/>
          <w:left w:val="nil"/>
          <w:bottom w:val="nil"/>
          <w:right w:val="nil"/>
          <w:between w:val="nil"/>
        </w:pBdr>
        <w:ind w:right="-138" w:firstLine="420"/>
        <w:jc w:val="both"/>
        <w:rPr>
          <w:rFonts w:ascii="Palatino Linotype" w:eastAsia="Palatino Linotype" w:hAnsi="Palatino Linotype" w:cs="Palatino Linotype"/>
          <w:color w:val="000000"/>
        </w:rPr>
      </w:pPr>
      <w:r w:rsidRPr="00D04A75">
        <w:rPr>
          <w:rFonts w:ascii="Palatino Linotype" w:eastAsia="Palatino Linotype" w:hAnsi="Palatino Linotype" w:cs="Palatino Linotype"/>
          <w:color w:val="000000"/>
        </w:rPr>
        <w:t xml:space="preserve">de irregularidad, bastando con informar al tribunal que se realizó el alzamiento en virtud de </w:t>
      </w:r>
    </w:p>
    <w:p w:rsidR="0012025C" w:rsidRDefault="00D04A75"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r w:rsidRPr="00D04A75">
        <w:rPr>
          <w:rFonts w:ascii="Palatino Linotype" w:eastAsia="Palatino Linotype" w:hAnsi="Palatino Linotype" w:cs="Palatino Linotype"/>
          <w:color w:val="000000"/>
        </w:rPr>
        <w:t>la Ley N° 20.234, debiendo rendir</w:t>
      </w:r>
      <w:r>
        <w:rPr>
          <w:rFonts w:ascii="Palatino Linotype" w:eastAsia="Palatino Linotype" w:hAnsi="Palatino Linotype" w:cs="Palatino Linotype"/>
          <w:color w:val="000000"/>
        </w:rPr>
        <w:t>se</w:t>
      </w:r>
      <w:r w:rsidRPr="00D04A75">
        <w:rPr>
          <w:rFonts w:ascii="Palatino Linotype" w:eastAsia="Palatino Linotype" w:hAnsi="Palatino Linotype" w:cs="Palatino Linotype"/>
          <w:color w:val="000000"/>
        </w:rPr>
        <w:t xml:space="preserve"> cuenta de los fondos administrados y de los loteos transferidos, procediendo el tribunal a cerrar la causa del loteo.</w:t>
      </w:r>
      <w:r>
        <w:rPr>
          <w:rFonts w:ascii="Palatino Linotype" w:eastAsia="Palatino Linotype" w:hAnsi="Palatino Linotype" w:cs="Palatino Linotype"/>
          <w:color w:val="000000"/>
        </w:rPr>
        <w:t>”</w:t>
      </w:r>
    </w:p>
    <w:p w:rsidR="00D04A75" w:rsidRDefault="00D04A75" w:rsidP="00976D17">
      <w:pPr>
        <w:pBdr>
          <w:top w:val="nil"/>
          <w:left w:val="nil"/>
          <w:bottom w:val="nil"/>
          <w:right w:val="nil"/>
          <w:between w:val="nil"/>
        </w:pBdr>
        <w:ind w:left="420" w:right="-138"/>
        <w:jc w:val="both"/>
        <w:rPr>
          <w:rFonts w:ascii="Palatino Linotype" w:eastAsia="Palatino Linotype" w:hAnsi="Palatino Linotype" w:cs="Palatino Linotype"/>
          <w:color w:val="000000"/>
        </w:rPr>
      </w:pPr>
    </w:p>
    <w:p w:rsidR="00D04A75" w:rsidRPr="006D071B" w:rsidRDefault="00B01BDA" w:rsidP="00976D17">
      <w:pPr>
        <w:pBdr>
          <w:top w:val="nil"/>
          <w:left w:val="nil"/>
          <w:bottom w:val="nil"/>
          <w:right w:val="nil"/>
          <w:between w:val="nil"/>
        </w:pBdr>
        <w:ind w:left="42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7</w:t>
      </w:r>
      <w:r w:rsidR="00D04A75" w:rsidRPr="006D071B">
        <w:rPr>
          <w:rFonts w:ascii="Palatino Linotype" w:eastAsia="Palatino Linotype" w:hAnsi="Palatino Linotype" w:cs="Palatino Linotype"/>
          <w:strike/>
          <w:color w:val="000000"/>
        </w:rPr>
        <w:t>.- En el artículo 9°:</w:t>
      </w:r>
    </w:p>
    <w:p w:rsidR="009B7DAD" w:rsidRPr="006D071B" w:rsidRDefault="009B7DAD" w:rsidP="00976D17">
      <w:pPr>
        <w:pBdr>
          <w:top w:val="nil"/>
          <w:left w:val="nil"/>
          <w:bottom w:val="nil"/>
          <w:right w:val="nil"/>
          <w:between w:val="nil"/>
        </w:pBdr>
        <w:ind w:left="420" w:right="-138"/>
        <w:jc w:val="both"/>
        <w:rPr>
          <w:rFonts w:ascii="Palatino Linotype" w:eastAsia="Palatino Linotype" w:hAnsi="Palatino Linotype" w:cs="Palatino Linotype"/>
          <w:strike/>
          <w:color w:val="000000"/>
        </w:rPr>
      </w:pPr>
    </w:p>
    <w:p w:rsidR="00D04A75" w:rsidRPr="006D071B" w:rsidRDefault="00D04A75" w:rsidP="00976D17">
      <w:pPr>
        <w:pBdr>
          <w:top w:val="nil"/>
          <w:left w:val="nil"/>
          <w:bottom w:val="nil"/>
          <w:right w:val="nil"/>
          <w:between w:val="nil"/>
        </w:pBdr>
        <w:ind w:left="42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Agréguese en el inciso 5°, después del punto final, la siguiente frase:</w:t>
      </w:r>
    </w:p>
    <w:p w:rsidR="00D04A75" w:rsidRPr="006D071B" w:rsidRDefault="008C07D2" w:rsidP="00976D17">
      <w:pPr>
        <w:pBdr>
          <w:top w:val="nil"/>
          <w:left w:val="nil"/>
          <w:bottom w:val="nil"/>
          <w:right w:val="nil"/>
          <w:between w:val="nil"/>
        </w:pBdr>
        <w:ind w:left="42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w:t>
      </w:r>
      <w:r w:rsidR="00D04A75" w:rsidRPr="006D071B">
        <w:rPr>
          <w:rFonts w:ascii="Palatino Linotype" w:eastAsia="Palatino Linotype" w:hAnsi="Palatino Linotype" w:cs="Palatino Linotype"/>
          <w:strike/>
          <w:color w:val="000000"/>
        </w:rPr>
        <w:t>Los Servicios de Vivienda y Urbanización también podrán celebrar dichos convenios con la</w:t>
      </w:r>
      <w:r w:rsidRPr="006D071B">
        <w:rPr>
          <w:rFonts w:ascii="Palatino Linotype" w:eastAsia="Palatino Linotype" w:hAnsi="Palatino Linotype" w:cs="Palatino Linotype"/>
          <w:strike/>
          <w:color w:val="000000"/>
        </w:rPr>
        <w:t>s empresas sanitarias, con este mismo</w:t>
      </w:r>
      <w:r w:rsidR="00D04A75" w:rsidRPr="006D071B">
        <w:rPr>
          <w:rFonts w:ascii="Palatino Linotype" w:eastAsia="Palatino Linotype" w:hAnsi="Palatino Linotype" w:cs="Palatino Linotype"/>
          <w:strike/>
          <w:color w:val="000000"/>
        </w:rPr>
        <w:t xml:space="preserve"> objeto.”  </w:t>
      </w:r>
    </w:p>
    <w:p w:rsidR="0012025C" w:rsidRPr="006D071B" w:rsidRDefault="00AD170F" w:rsidP="00976D17">
      <w:pPr>
        <w:pBdr>
          <w:top w:val="nil"/>
          <w:left w:val="nil"/>
          <w:bottom w:val="nil"/>
          <w:right w:val="nil"/>
          <w:between w:val="nil"/>
        </w:pBdr>
        <w:ind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b/>
          <w:strike/>
          <w:color w:val="000000"/>
        </w:rPr>
        <w:t xml:space="preserve"> </w:t>
      </w:r>
    </w:p>
    <w:p w:rsidR="008C07D2" w:rsidRPr="006D071B" w:rsidRDefault="00B01BDA" w:rsidP="00976D17">
      <w:pPr>
        <w:pBdr>
          <w:top w:val="nil"/>
          <w:left w:val="nil"/>
          <w:bottom w:val="nil"/>
          <w:right w:val="nil"/>
          <w:between w:val="nil"/>
        </w:pBdr>
        <w:ind w:right="-138" w:firstLine="360"/>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8</w:t>
      </w:r>
      <w:r w:rsidR="008C07D2" w:rsidRPr="006D071B">
        <w:rPr>
          <w:rFonts w:ascii="Palatino Linotype" w:eastAsia="Palatino Linotype" w:hAnsi="Palatino Linotype" w:cs="Palatino Linotype"/>
          <w:strike/>
          <w:color w:val="000000"/>
        </w:rPr>
        <w:t>.- Agréguese el artículo 14, nuevo, del siguiente tenor:</w:t>
      </w:r>
    </w:p>
    <w:p w:rsidR="009B7DAD" w:rsidRPr="006D071B" w:rsidRDefault="009B7DAD" w:rsidP="00976D17">
      <w:pPr>
        <w:pBdr>
          <w:top w:val="nil"/>
          <w:left w:val="nil"/>
          <w:bottom w:val="nil"/>
          <w:right w:val="nil"/>
          <w:between w:val="nil"/>
        </w:pBdr>
        <w:ind w:right="-138" w:firstLine="360"/>
        <w:jc w:val="both"/>
        <w:rPr>
          <w:rFonts w:ascii="Palatino Linotype" w:eastAsia="Palatino Linotype" w:hAnsi="Palatino Linotype" w:cs="Palatino Linotype"/>
          <w:strike/>
          <w:color w:val="000000"/>
        </w:rPr>
      </w:pPr>
    </w:p>
    <w:p w:rsidR="0012025C" w:rsidRPr="006D071B" w:rsidRDefault="008C07D2" w:rsidP="00976D17">
      <w:pPr>
        <w:pBdr>
          <w:top w:val="nil"/>
          <w:left w:val="nil"/>
          <w:bottom w:val="nil"/>
          <w:right w:val="nil"/>
          <w:between w:val="nil"/>
        </w:pBdr>
        <w:ind w:left="36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“El Ministerio de Vivienda y Urbanismo y los Servicios de Vivienda y Urbanización estarán exentos del pago de derechos respecto de los Certificados de informaciones Previas.”</w:t>
      </w:r>
    </w:p>
    <w:p w:rsidR="008C07D2" w:rsidRPr="006D071B" w:rsidRDefault="008C07D2" w:rsidP="00976D17">
      <w:pPr>
        <w:pBdr>
          <w:top w:val="nil"/>
          <w:left w:val="nil"/>
          <w:bottom w:val="nil"/>
          <w:right w:val="nil"/>
          <w:between w:val="nil"/>
        </w:pBdr>
        <w:ind w:right="-138" w:firstLine="360"/>
        <w:jc w:val="both"/>
        <w:rPr>
          <w:rFonts w:ascii="Palatino Linotype" w:eastAsia="Palatino Linotype" w:hAnsi="Palatino Linotype" w:cs="Palatino Linotype"/>
          <w:strike/>
          <w:color w:val="000000"/>
        </w:rPr>
      </w:pPr>
    </w:p>
    <w:p w:rsidR="008C07D2" w:rsidRDefault="006D071B"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7</w:t>
      </w:r>
      <w:r w:rsidR="008C07D2" w:rsidRPr="006D071B">
        <w:rPr>
          <w:rFonts w:ascii="Palatino Linotype" w:eastAsia="Palatino Linotype" w:hAnsi="Palatino Linotype" w:cs="Palatino Linotype"/>
          <w:color w:val="000000"/>
        </w:rPr>
        <w:t xml:space="preserve">.- </w:t>
      </w:r>
      <w:r w:rsidR="008C07D2">
        <w:rPr>
          <w:rFonts w:ascii="Palatino Linotype" w:eastAsia="Palatino Linotype" w:hAnsi="Palatino Linotype" w:cs="Palatino Linotype"/>
          <w:color w:val="000000"/>
        </w:rPr>
        <w:t xml:space="preserve">Agréguese el artículo 15, nuevo, del siguiente tenor: </w:t>
      </w:r>
    </w:p>
    <w:p w:rsidR="009B7DAD" w:rsidRDefault="009B7DAD" w:rsidP="00976D17">
      <w:pPr>
        <w:pBdr>
          <w:top w:val="nil"/>
          <w:left w:val="nil"/>
          <w:bottom w:val="nil"/>
          <w:right w:val="nil"/>
          <w:between w:val="nil"/>
        </w:pBdr>
        <w:ind w:right="-138" w:firstLine="360"/>
        <w:jc w:val="both"/>
        <w:rPr>
          <w:rFonts w:ascii="Palatino Linotype" w:eastAsia="Palatino Linotype" w:hAnsi="Palatino Linotype" w:cs="Palatino Linotype"/>
          <w:color w:val="000000"/>
        </w:rPr>
      </w:pPr>
    </w:p>
    <w:p w:rsidR="008C07D2" w:rsidRDefault="008C07D2" w:rsidP="00976D17">
      <w:pPr>
        <w:pBdr>
          <w:top w:val="nil"/>
          <w:left w:val="nil"/>
          <w:bottom w:val="nil"/>
          <w:right w:val="nil"/>
          <w:between w:val="nil"/>
        </w:pBdr>
        <w:ind w:left="360"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“La </w:t>
      </w:r>
      <w:r w:rsidRPr="008C07D2">
        <w:rPr>
          <w:rFonts w:ascii="Palatino Linotype" w:eastAsia="Palatino Linotype" w:hAnsi="Palatino Linotype" w:cs="Palatino Linotype"/>
          <w:color w:val="000000"/>
        </w:rPr>
        <w:t xml:space="preserve">Secretaría Regional Ministerial, </w:t>
      </w:r>
      <w:r>
        <w:rPr>
          <w:rFonts w:ascii="Palatino Linotype" w:eastAsia="Palatino Linotype" w:hAnsi="Palatino Linotype" w:cs="Palatino Linotype"/>
          <w:color w:val="000000"/>
        </w:rPr>
        <w:t xml:space="preserve">podrá eximir, en casos fundados, el </w:t>
      </w:r>
      <w:r w:rsidRPr="008C07D2">
        <w:rPr>
          <w:rFonts w:ascii="Palatino Linotype" w:eastAsia="Palatino Linotype" w:hAnsi="Palatino Linotype" w:cs="Palatino Linotype"/>
          <w:color w:val="000000"/>
        </w:rPr>
        <w:t xml:space="preserve">cumplimiento </w:t>
      </w:r>
      <w:r>
        <w:rPr>
          <w:rFonts w:ascii="Palatino Linotype" w:eastAsia="Palatino Linotype" w:hAnsi="Palatino Linotype" w:cs="Palatino Linotype"/>
          <w:color w:val="000000"/>
        </w:rPr>
        <w:t>de</w:t>
      </w:r>
      <w:r w:rsidRPr="008C07D2">
        <w:rPr>
          <w:rFonts w:ascii="Palatino Linotype" w:eastAsia="Palatino Linotype" w:hAnsi="Palatino Linotype" w:cs="Palatino Linotype"/>
          <w:color w:val="000000"/>
        </w:rPr>
        <w:t xml:space="preserve"> las no</w:t>
      </w:r>
      <w:r>
        <w:rPr>
          <w:rFonts w:ascii="Palatino Linotype" w:eastAsia="Palatino Linotype" w:hAnsi="Palatino Linotype" w:cs="Palatino Linotype"/>
          <w:color w:val="000000"/>
        </w:rPr>
        <w:t>rmas de accesibilidad universal, cuando resulte imposible o muy difícil su aplicación, dada la ubicación geográfica del loteo o campamento.”</w:t>
      </w:r>
    </w:p>
    <w:p w:rsidR="008B27A2" w:rsidRDefault="008B27A2" w:rsidP="00976D17">
      <w:pPr>
        <w:pBdr>
          <w:top w:val="nil"/>
          <w:left w:val="nil"/>
          <w:bottom w:val="nil"/>
          <w:right w:val="nil"/>
          <w:between w:val="nil"/>
        </w:pBdr>
        <w:ind w:left="360" w:right="-138"/>
        <w:jc w:val="both"/>
        <w:rPr>
          <w:rFonts w:ascii="Palatino Linotype" w:eastAsia="Palatino Linotype" w:hAnsi="Palatino Linotype" w:cs="Palatino Linotype"/>
          <w:color w:val="000000"/>
        </w:rPr>
      </w:pPr>
    </w:p>
    <w:p w:rsidR="008B27A2" w:rsidRDefault="008B27A2" w:rsidP="00976D17">
      <w:pPr>
        <w:pBdr>
          <w:top w:val="nil"/>
          <w:left w:val="nil"/>
          <w:bottom w:val="nil"/>
          <w:right w:val="nil"/>
          <w:between w:val="nil"/>
        </w:pBdr>
        <w:ind w:left="360" w:right="-138"/>
        <w:jc w:val="both"/>
        <w:rPr>
          <w:rFonts w:ascii="Palatino Linotype" w:eastAsia="Palatino Linotype" w:hAnsi="Palatino Linotype" w:cs="Palatino Linotype"/>
          <w:color w:val="000000"/>
        </w:rPr>
      </w:pPr>
    </w:p>
    <w:p w:rsidR="008B27A2" w:rsidRPr="006D071B" w:rsidRDefault="008B27A2" w:rsidP="00976D17">
      <w:pPr>
        <w:pBdr>
          <w:top w:val="nil"/>
          <w:left w:val="nil"/>
          <w:bottom w:val="nil"/>
          <w:right w:val="nil"/>
          <w:between w:val="nil"/>
        </w:pBdr>
        <w:ind w:left="36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 xml:space="preserve">ARTICULO </w:t>
      </w:r>
      <w:proofErr w:type="gramStart"/>
      <w:r w:rsidRPr="006D071B">
        <w:rPr>
          <w:rFonts w:ascii="Palatino Linotype" w:eastAsia="Palatino Linotype" w:hAnsi="Palatino Linotype" w:cs="Palatino Linotype"/>
          <w:strike/>
          <w:color w:val="000000"/>
        </w:rPr>
        <w:t>TRANSITORIO :</w:t>
      </w:r>
      <w:proofErr w:type="gramEnd"/>
    </w:p>
    <w:p w:rsidR="008B27A2" w:rsidRPr="006D071B" w:rsidRDefault="008B27A2" w:rsidP="00976D17">
      <w:pPr>
        <w:pBdr>
          <w:top w:val="nil"/>
          <w:left w:val="nil"/>
          <w:bottom w:val="nil"/>
          <w:right w:val="nil"/>
          <w:between w:val="nil"/>
        </w:pBdr>
        <w:ind w:left="360" w:right="-138"/>
        <w:jc w:val="both"/>
        <w:rPr>
          <w:rFonts w:ascii="Palatino Linotype" w:eastAsia="Palatino Linotype" w:hAnsi="Palatino Linotype" w:cs="Palatino Linotype"/>
          <w:strike/>
          <w:color w:val="000000"/>
        </w:rPr>
      </w:pPr>
      <w:r w:rsidRPr="006D071B">
        <w:rPr>
          <w:rFonts w:ascii="Palatino Linotype" w:eastAsia="Palatino Linotype" w:hAnsi="Palatino Linotype" w:cs="Palatino Linotype"/>
          <w:strike/>
          <w:color w:val="000000"/>
        </w:rPr>
        <w:tab/>
      </w:r>
      <w:r w:rsidRPr="006D071B">
        <w:rPr>
          <w:rFonts w:ascii="Palatino Linotype" w:eastAsia="Palatino Linotype" w:hAnsi="Palatino Linotype" w:cs="Palatino Linotype"/>
          <w:strike/>
          <w:color w:val="000000"/>
        </w:rPr>
        <w:tab/>
      </w:r>
      <w:r w:rsidRPr="006D071B">
        <w:rPr>
          <w:rFonts w:ascii="Palatino Linotype" w:eastAsia="Palatino Linotype" w:hAnsi="Palatino Linotype" w:cs="Palatino Linotype"/>
          <w:strike/>
          <w:color w:val="000000"/>
        </w:rPr>
        <w:tab/>
      </w:r>
      <w:r w:rsidRPr="006D071B">
        <w:rPr>
          <w:rFonts w:ascii="Palatino Linotype" w:eastAsia="Palatino Linotype" w:hAnsi="Palatino Linotype" w:cs="Palatino Linotype"/>
          <w:strike/>
          <w:color w:val="000000"/>
        </w:rPr>
        <w:tab/>
      </w:r>
      <w:r w:rsidRPr="006D071B">
        <w:rPr>
          <w:rFonts w:ascii="Palatino Linotype" w:eastAsia="Palatino Linotype" w:hAnsi="Palatino Linotype" w:cs="Palatino Linotype"/>
          <w:strike/>
          <w:color w:val="000000"/>
        </w:rPr>
        <w:tab/>
        <w:t>Durante el período de vigencia de esta Ley el Ministerio de Vivienda podrá di</w:t>
      </w:r>
      <w:r w:rsidR="00F63F51" w:rsidRPr="006D071B">
        <w:rPr>
          <w:rFonts w:ascii="Palatino Linotype" w:eastAsia="Palatino Linotype" w:hAnsi="Palatino Linotype" w:cs="Palatino Linotype"/>
          <w:strike/>
          <w:color w:val="000000"/>
        </w:rPr>
        <w:t>s</w:t>
      </w:r>
      <w:r w:rsidRPr="006D071B">
        <w:rPr>
          <w:rFonts w:ascii="Palatino Linotype" w:eastAsia="Palatino Linotype" w:hAnsi="Palatino Linotype" w:cs="Palatino Linotype"/>
          <w:strike/>
          <w:color w:val="000000"/>
        </w:rPr>
        <w:t>poner los recursos necesarios a través de sus fondos propios o incorporando una glosa a las correspondientes Leyes anuales de presupuesto para dar complimiento a las acciones y medidas necesaria</w:t>
      </w:r>
      <w:r w:rsidR="0056618A" w:rsidRPr="006D071B">
        <w:rPr>
          <w:rFonts w:ascii="Palatino Linotype" w:eastAsia="Palatino Linotype" w:hAnsi="Palatino Linotype" w:cs="Palatino Linotype"/>
          <w:strike/>
          <w:color w:val="000000"/>
        </w:rPr>
        <w:t>s</w:t>
      </w:r>
      <w:r w:rsidRPr="006D071B">
        <w:rPr>
          <w:rFonts w:ascii="Palatino Linotype" w:eastAsia="Palatino Linotype" w:hAnsi="Palatino Linotype" w:cs="Palatino Linotype"/>
          <w:strike/>
          <w:color w:val="000000"/>
        </w:rPr>
        <w:t xml:space="preserve"> que permitan </w:t>
      </w:r>
      <w:r w:rsidR="0056618A" w:rsidRPr="006D071B">
        <w:rPr>
          <w:rFonts w:ascii="Palatino Linotype" w:eastAsia="Palatino Linotype" w:hAnsi="Palatino Linotype" w:cs="Palatino Linotype"/>
          <w:strike/>
          <w:color w:val="000000"/>
        </w:rPr>
        <w:t>completar en todas las comunas y regiones de Chile los procesos de regularización que permitan dejar saneados los loteos irregulares en sus más variadas formas de manera integral y definitiva.</w:t>
      </w:r>
    </w:p>
    <w:p w:rsidR="008C07D2" w:rsidRPr="008C07D2" w:rsidRDefault="008C07D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12025C" w:rsidRDefault="008C07D2" w:rsidP="00976D17">
      <w:pPr>
        <w:pBdr>
          <w:top w:val="nil"/>
          <w:left w:val="nil"/>
          <w:bottom w:val="nil"/>
          <w:right w:val="nil"/>
          <w:between w:val="nil"/>
        </w:pBdr>
        <w:ind w:right="-138"/>
        <w:jc w:val="both"/>
        <w:rPr>
          <w:rFonts w:ascii="Palatino Linotype" w:eastAsia="Palatino Linotype" w:hAnsi="Palatino Linotype" w:cs="Palatino Linotype"/>
          <w:color w:val="000000"/>
        </w:rPr>
      </w:pPr>
      <w:r>
        <w:rPr>
          <w:rFonts w:ascii="Palatino Linotype" w:eastAsia="Palatino Linotype" w:hAnsi="Palatino Linotype" w:cs="Palatino Linotype"/>
          <w:color w:val="000000"/>
        </w:rPr>
        <w:t xml:space="preserve"> </w:t>
      </w:r>
    </w:p>
    <w:p w:rsidR="008C07D2" w:rsidRDefault="008C07D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1442B2" w:rsidRDefault="001442B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1442B2" w:rsidRDefault="001442B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8C07D2" w:rsidRDefault="008C07D2"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12025C" w:rsidRDefault="0012025C" w:rsidP="00976D17">
      <w:pPr>
        <w:pBdr>
          <w:top w:val="nil"/>
          <w:left w:val="nil"/>
          <w:bottom w:val="nil"/>
          <w:right w:val="nil"/>
          <w:between w:val="nil"/>
        </w:pBdr>
        <w:ind w:right="-138"/>
        <w:jc w:val="both"/>
        <w:rPr>
          <w:rFonts w:ascii="Palatino Linotype" w:eastAsia="Palatino Linotype" w:hAnsi="Palatino Linotype" w:cs="Palatino Linotype"/>
          <w:color w:val="000000"/>
        </w:rPr>
      </w:pPr>
    </w:p>
    <w:p w:rsidR="0012025C" w:rsidRDefault="00476ECF" w:rsidP="00976D17">
      <w:pPr>
        <w:pBdr>
          <w:top w:val="nil"/>
          <w:left w:val="nil"/>
          <w:bottom w:val="nil"/>
          <w:right w:val="nil"/>
          <w:between w:val="nil"/>
        </w:pBdr>
        <w:ind w:right="-13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RODRIGO GONZÁLEZ TORRES</w:t>
      </w:r>
    </w:p>
    <w:p w:rsidR="0012025C" w:rsidRDefault="00476ECF" w:rsidP="00976D17">
      <w:pPr>
        <w:pBdr>
          <w:top w:val="nil"/>
          <w:left w:val="nil"/>
          <w:bottom w:val="nil"/>
          <w:right w:val="nil"/>
          <w:between w:val="nil"/>
        </w:pBdr>
        <w:ind w:right="-138"/>
        <w:jc w:val="center"/>
        <w:rPr>
          <w:rFonts w:ascii="Palatino Linotype" w:eastAsia="Palatino Linotype" w:hAnsi="Palatino Linotype" w:cs="Palatino Linotype"/>
          <w:b/>
          <w:color w:val="000000"/>
        </w:rPr>
      </w:pPr>
      <w:r>
        <w:rPr>
          <w:rFonts w:ascii="Palatino Linotype" w:eastAsia="Palatino Linotype" w:hAnsi="Palatino Linotype" w:cs="Palatino Linotype"/>
          <w:b/>
          <w:color w:val="000000"/>
        </w:rPr>
        <w:t>Diputado</w:t>
      </w:r>
    </w:p>
    <w:p w:rsidR="0012025C" w:rsidRDefault="00476ECF" w:rsidP="00976D17">
      <w:pPr>
        <w:pBdr>
          <w:top w:val="nil"/>
          <w:left w:val="nil"/>
          <w:bottom w:val="nil"/>
          <w:right w:val="nil"/>
          <w:between w:val="nil"/>
        </w:pBdr>
        <w:ind w:right="-138"/>
        <w:jc w:val="both"/>
        <w:rPr>
          <w:rFonts w:ascii="Palatino Linotype" w:eastAsia="Palatino Linotype" w:hAnsi="Palatino Linotype" w:cs="Palatino Linotype"/>
          <w:color w:val="FF0000"/>
        </w:rPr>
      </w:pPr>
      <w:r>
        <w:rPr>
          <w:rFonts w:ascii="Palatino Linotype" w:eastAsia="Palatino Linotype" w:hAnsi="Palatino Linotype" w:cs="Palatino Linotype"/>
          <w:color w:val="000000"/>
        </w:rPr>
        <w:t xml:space="preserve"> </w:t>
      </w:r>
    </w:p>
    <w:p w:rsidR="0012025C" w:rsidRDefault="00476ECF" w:rsidP="006D071B">
      <w:pPr>
        <w:pBdr>
          <w:top w:val="nil"/>
          <w:left w:val="nil"/>
          <w:bottom w:val="nil"/>
          <w:right w:val="nil"/>
          <w:between w:val="nil"/>
        </w:pBdr>
        <w:ind w:right="-138" w:firstLine="720"/>
        <w:jc w:val="both"/>
        <w:rPr>
          <w:rFonts w:ascii="Palatino Linotype" w:eastAsia="Palatino Linotype" w:hAnsi="Palatino Linotype" w:cs="Palatino Linotype"/>
          <w:color w:val="000000"/>
        </w:rPr>
      </w:pPr>
      <w:r>
        <w:rPr>
          <w:rFonts w:ascii="Palatino Linotype" w:eastAsia="Palatino Linotype" w:hAnsi="Palatino Linotype" w:cs="Palatino Linotype"/>
          <w:color w:val="FF0000"/>
        </w:rPr>
        <w:t xml:space="preserve"> </w:t>
      </w:r>
    </w:p>
    <w:p w:rsidR="0012025C" w:rsidRDefault="0012025C" w:rsidP="00976D17">
      <w:pPr>
        <w:pBdr>
          <w:top w:val="nil"/>
          <w:left w:val="nil"/>
          <w:bottom w:val="nil"/>
          <w:right w:val="nil"/>
          <w:between w:val="nil"/>
        </w:pBdr>
        <w:ind w:right="-138"/>
        <w:jc w:val="both"/>
        <w:rPr>
          <w:rFonts w:ascii="Palatino Linotype" w:eastAsia="Palatino Linotype" w:hAnsi="Palatino Linotype" w:cs="Palatino Linotype"/>
          <w:color w:val="000000"/>
        </w:rPr>
      </w:pPr>
    </w:p>
    <w:sectPr w:rsidR="0012025C" w:rsidSect="00425360">
      <w:pgSz w:w="12240" w:h="20160"/>
      <w:pgMar w:top="1440" w:right="1440" w:bottom="2552"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910B3A"/>
    <w:multiLevelType w:val="hybridMultilevel"/>
    <w:tmpl w:val="6B5C16E6"/>
    <w:lvl w:ilvl="0" w:tplc="6B9E13A2">
      <w:start w:val="4"/>
      <w:numFmt w:val="decimal"/>
      <w:lvlText w:val="%1."/>
      <w:lvlJc w:val="left"/>
      <w:pPr>
        <w:ind w:left="928" w:hanging="360"/>
      </w:pPr>
      <w:rPr>
        <w:rFonts w:hint="default"/>
      </w:r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1">
    <w:nsid w:val="474146FE"/>
    <w:multiLevelType w:val="hybridMultilevel"/>
    <w:tmpl w:val="0256E65E"/>
    <w:lvl w:ilvl="0" w:tplc="F1D63AB8">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
    <w:nsid w:val="6735397E"/>
    <w:multiLevelType w:val="hybridMultilevel"/>
    <w:tmpl w:val="512A4906"/>
    <w:lvl w:ilvl="0" w:tplc="502C3114">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6CE13AB4"/>
    <w:multiLevelType w:val="hybridMultilevel"/>
    <w:tmpl w:val="6696EBE0"/>
    <w:lvl w:ilvl="0" w:tplc="2EAA80BE">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num w:numId="1">
    <w:abstractNumId w:val="2"/>
  </w:num>
  <w:num w:numId="2">
    <w:abstractNumId w:val="1"/>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20"/>
  <w:hyphenationZone w:val="425"/>
  <w:characterSpacingControl w:val="doNotCompress"/>
  <w:compat/>
  <w:rsids>
    <w:rsidRoot w:val="0012025C"/>
    <w:rsid w:val="000126B2"/>
    <w:rsid w:val="000448AB"/>
    <w:rsid w:val="00073DB1"/>
    <w:rsid w:val="000808A0"/>
    <w:rsid w:val="000B4FD2"/>
    <w:rsid w:val="0012025C"/>
    <w:rsid w:val="001442B2"/>
    <w:rsid w:val="00147EF4"/>
    <w:rsid w:val="00181F8F"/>
    <w:rsid w:val="001E3239"/>
    <w:rsid w:val="0021261C"/>
    <w:rsid w:val="00222038"/>
    <w:rsid w:val="00250C17"/>
    <w:rsid w:val="002661CD"/>
    <w:rsid w:val="00276067"/>
    <w:rsid w:val="002D0E28"/>
    <w:rsid w:val="002E7192"/>
    <w:rsid w:val="002F2E4A"/>
    <w:rsid w:val="00310FF4"/>
    <w:rsid w:val="003714B0"/>
    <w:rsid w:val="003A4A8B"/>
    <w:rsid w:val="003A76D5"/>
    <w:rsid w:val="003F4FE5"/>
    <w:rsid w:val="003F5EFA"/>
    <w:rsid w:val="00425360"/>
    <w:rsid w:val="00450C1B"/>
    <w:rsid w:val="00476ECF"/>
    <w:rsid w:val="004944B0"/>
    <w:rsid w:val="004B7EB2"/>
    <w:rsid w:val="004C73DD"/>
    <w:rsid w:val="005550CB"/>
    <w:rsid w:val="0056618A"/>
    <w:rsid w:val="00611264"/>
    <w:rsid w:val="00614989"/>
    <w:rsid w:val="006274C3"/>
    <w:rsid w:val="00632948"/>
    <w:rsid w:val="00632C05"/>
    <w:rsid w:val="006B2514"/>
    <w:rsid w:val="006C3A9B"/>
    <w:rsid w:val="006D071B"/>
    <w:rsid w:val="006E1ABA"/>
    <w:rsid w:val="00734DB2"/>
    <w:rsid w:val="00791335"/>
    <w:rsid w:val="007C51D0"/>
    <w:rsid w:val="00857252"/>
    <w:rsid w:val="00874F16"/>
    <w:rsid w:val="008B27A2"/>
    <w:rsid w:val="008B6256"/>
    <w:rsid w:val="008C07D2"/>
    <w:rsid w:val="008C6279"/>
    <w:rsid w:val="00943DB7"/>
    <w:rsid w:val="0095344C"/>
    <w:rsid w:val="00976D17"/>
    <w:rsid w:val="009B7DAD"/>
    <w:rsid w:val="009D7E17"/>
    <w:rsid w:val="00A90479"/>
    <w:rsid w:val="00AD1440"/>
    <w:rsid w:val="00AD170F"/>
    <w:rsid w:val="00AE6188"/>
    <w:rsid w:val="00B01BDA"/>
    <w:rsid w:val="00B01E47"/>
    <w:rsid w:val="00B02EF5"/>
    <w:rsid w:val="00B14461"/>
    <w:rsid w:val="00B25583"/>
    <w:rsid w:val="00BB759B"/>
    <w:rsid w:val="00BF2D94"/>
    <w:rsid w:val="00C34A78"/>
    <w:rsid w:val="00C43E33"/>
    <w:rsid w:val="00C700BD"/>
    <w:rsid w:val="00CE3BF8"/>
    <w:rsid w:val="00CF1BB1"/>
    <w:rsid w:val="00D04A75"/>
    <w:rsid w:val="00D647AC"/>
    <w:rsid w:val="00D9047A"/>
    <w:rsid w:val="00E02FB1"/>
    <w:rsid w:val="00E03E7B"/>
    <w:rsid w:val="00E042E9"/>
    <w:rsid w:val="00E1155A"/>
    <w:rsid w:val="00E17259"/>
    <w:rsid w:val="00E23D5B"/>
    <w:rsid w:val="00E72209"/>
    <w:rsid w:val="00EC0B43"/>
    <w:rsid w:val="00F63F51"/>
    <w:rsid w:val="00FE5687"/>
    <w:rsid w:val="00FF3AC7"/>
    <w:rsid w:val="00FF6A83"/>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es-CL"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25360"/>
  </w:style>
  <w:style w:type="paragraph" w:styleId="Ttulo1">
    <w:name w:val="heading 1"/>
    <w:basedOn w:val="Normal"/>
    <w:next w:val="Normal"/>
    <w:rsid w:val="00425360"/>
    <w:pPr>
      <w:keepNext/>
      <w:keepLines/>
      <w:pBdr>
        <w:top w:val="nil"/>
        <w:left w:val="nil"/>
        <w:bottom w:val="nil"/>
        <w:right w:val="nil"/>
        <w:between w:val="nil"/>
      </w:pBdr>
      <w:spacing w:before="400" w:after="120"/>
      <w:outlineLvl w:val="0"/>
    </w:pPr>
    <w:rPr>
      <w:color w:val="000000"/>
      <w:sz w:val="40"/>
      <w:szCs w:val="40"/>
    </w:rPr>
  </w:style>
  <w:style w:type="paragraph" w:styleId="Ttulo2">
    <w:name w:val="heading 2"/>
    <w:basedOn w:val="Normal"/>
    <w:next w:val="Normal"/>
    <w:rsid w:val="00425360"/>
    <w:pPr>
      <w:keepNext/>
      <w:keepLines/>
      <w:pBdr>
        <w:top w:val="nil"/>
        <w:left w:val="nil"/>
        <w:bottom w:val="nil"/>
        <w:right w:val="nil"/>
        <w:between w:val="nil"/>
      </w:pBdr>
      <w:spacing w:before="360" w:after="120"/>
      <w:outlineLvl w:val="1"/>
    </w:pPr>
    <w:rPr>
      <w:color w:val="000000"/>
      <w:sz w:val="32"/>
      <w:szCs w:val="32"/>
    </w:rPr>
  </w:style>
  <w:style w:type="paragraph" w:styleId="Ttulo3">
    <w:name w:val="heading 3"/>
    <w:basedOn w:val="Normal"/>
    <w:next w:val="Normal"/>
    <w:rsid w:val="00425360"/>
    <w:pPr>
      <w:keepNext/>
      <w:keepLines/>
      <w:pBdr>
        <w:top w:val="nil"/>
        <w:left w:val="nil"/>
        <w:bottom w:val="nil"/>
        <w:right w:val="nil"/>
        <w:between w:val="nil"/>
      </w:pBdr>
      <w:spacing w:before="320" w:after="80"/>
      <w:outlineLvl w:val="2"/>
    </w:pPr>
    <w:rPr>
      <w:color w:val="434343"/>
      <w:sz w:val="28"/>
      <w:szCs w:val="28"/>
    </w:rPr>
  </w:style>
  <w:style w:type="paragraph" w:styleId="Ttulo4">
    <w:name w:val="heading 4"/>
    <w:basedOn w:val="Normal"/>
    <w:next w:val="Normal"/>
    <w:rsid w:val="00425360"/>
    <w:pPr>
      <w:keepNext/>
      <w:keepLines/>
      <w:pBdr>
        <w:top w:val="nil"/>
        <w:left w:val="nil"/>
        <w:bottom w:val="nil"/>
        <w:right w:val="nil"/>
        <w:between w:val="nil"/>
      </w:pBdr>
      <w:spacing w:before="280" w:after="80"/>
      <w:outlineLvl w:val="3"/>
    </w:pPr>
    <w:rPr>
      <w:color w:val="666666"/>
      <w:sz w:val="24"/>
      <w:szCs w:val="24"/>
    </w:rPr>
  </w:style>
  <w:style w:type="paragraph" w:styleId="Ttulo5">
    <w:name w:val="heading 5"/>
    <w:basedOn w:val="Normal"/>
    <w:next w:val="Normal"/>
    <w:rsid w:val="00425360"/>
    <w:pPr>
      <w:keepNext/>
      <w:keepLines/>
      <w:pBdr>
        <w:top w:val="nil"/>
        <w:left w:val="nil"/>
        <w:bottom w:val="nil"/>
        <w:right w:val="nil"/>
        <w:between w:val="nil"/>
      </w:pBdr>
      <w:spacing w:before="240" w:after="80"/>
      <w:outlineLvl w:val="4"/>
    </w:pPr>
    <w:rPr>
      <w:color w:val="666666"/>
    </w:rPr>
  </w:style>
  <w:style w:type="paragraph" w:styleId="Ttulo6">
    <w:name w:val="heading 6"/>
    <w:basedOn w:val="Normal"/>
    <w:next w:val="Normal"/>
    <w:rsid w:val="00425360"/>
    <w:pPr>
      <w:keepNext/>
      <w:keepLines/>
      <w:pBdr>
        <w:top w:val="nil"/>
        <w:left w:val="nil"/>
        <w:bottom w:val="nil"/>
        <w:right w:val="nil"/>
        <w:between w:val="nil"/>
      </w:pBdr>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425360"/>
    <w:tblPr>
      <w:tblCellMar>
        <w:top w:w="0" w:type="dxa"/>
        <w:left w:w="0" w:type="dxa"/>
        <w:bottom w:w="0" w:type="dxa"/>
        <w:right w:w="0" w:type="dxa"/>
      </w:tblCellMar>
    </w:tblPr>
  </w:style>
  <w:style w:type="paragraph" w:styleId="Ttulo">
    <w:name w:val="Title"/>
    <w:basedOn w:val="Normal"/>
    <w:next w:val="Normal"/>
    <w:rsid w:val="00425360"/>
    <w:pPr>
      <w:keepNext/>
      <w:keepLines/>
      <w:pBdr>
        <w:top w:val="nil"/>
        <w:left w:val="nil"/>
        <w:bottom w:val="nil"/>
        <w:right w:val="nil"/>
        <w:between w:val="nil"/>
      </w:pBdr>
      <w:spacing w:after="60"/>
    </w:pPr>
    <w:rPr>
      <w:color w:val="000000"/>
      <w:sz w:val="52"/>
      <w:szCs w:val="52"/>
    </w:rPr>
  </w:style>
  <w:style w:type="paragraph" w:styleId="Subttulo">
    <w:name w:val="Subtitle"/>
    <w:basedOn w:val="Normal"/>
    <w:next w:val="Normal"/>
    <w:rsid w:val="00425360"/>
    <w:pPr>
      <w:keepNext/>
      <w:keepLines/>
      <w:pBdr>
        <w:top w:val="nil"/>
        <w:left w:val="nil"/>
        <w:bottom w:val="nil"/>
        <w:right w:val="nil"/>
        <w:between w:val="nil"/>
      </w:pBdr>
      <w:spacing w:after="320"/>
    </w:pPr>
    <w:rPr>
      <w:color w:val="666666"/>
      <w:sz w:val="30"/>
      <w:szCs w:val="30"/>
    </w:rPr>
  </w:style>
  <w:style w:type="paragraph" w:styleId="Prrafodelista">
    <w:name w:val="List Paragraph"/>
    <w:basedOn w:val="Normal"/>
    <w:uiPriority w:val="34"/>
    <w:qFormat/>
    <w:rsid w:val="00FF6A8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8</Pages>
  <Words>3447</Words>
  <Characters>18962</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22365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paulo</dc:creator>
  <cp:lastModifiedBy>Guillermo Diaz Vallejos</cp:lastModifiedBy>
  <cp:revision>2</cp:revision>
  <dcterms:created xsi:type="dcterms:W3CDTF">2019-08-21T21:33:00Z</dcterms:created>
  <dcterms:modified xsi:type="dcterms:W3CDTF">2019-08-21T21:33:00Z</dcterms:modified>
</cp:coreProperties>
</file>