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15" w:rsidRDefault="00C9686B" w:rsidP="00C9686B">
      <w:pPr>
        <w:pStyle w:val="normal0"/>
        <w:pBdr>
          <w:top w:val="nil"/>
          <w:left w:val="nil"/>
          <w:bottom w:val="nil"/>
          <w:right w:val="nil"/>
          <w:between w:val="nil"/>
        </w:pBdr>
        <w:spacing w:after="160" w:line="360" w:lineRule="auto"/>
        <w:ind w:left="-30" w:right="-185"/>
        <w:jc w:val="both"/>
        <w:rPr>
          <w:rFonts w:ascii="Times New Roman" w:hAnsi="Times New Roman" w:cs="Times New Roman"/>
          <w:b/>
          <w:sz w:val="24"/>
          <w:szCs w:val="24"/>
          <w:lang w:val="es-CL"/>
        </w:rPr>
      </w:pPr>
      <w:r w:rsidRPr="00C9686B">
        <w:rPr>
          <w:rFonts w:ascii="Times New Roman" w:hAnsi="Times New Roman" w:cs="Times New Roman"/>
          <w:b/>
          <w:sz w:val="24"/>
          <w:szCs w:val="24"/>
        </w:rPr>
        <w:t>MODIFICA EL CÓDIGO PENAL, EL CÓDIGO PROCESAL PENAL, Y LA LEY N°20.066 SOBRE VIOLENCIA INTRAFAMILIAR, PARA PREVENIR Y SANCIONAR PENALMENTE EL ABUSO PATRIMONIAL CONTRA ADULTOS MAYORES Y PERSONAS CON DISCAPACIDAD</w:t>
      </w:r>
    </w:p>
    <w:p w:rsidR="00C9686B" w:rsidRDefault="00C9686B" w:rsidP="00C9686B">
      <w:pPr>
        <w:pStyle w:val="normal0"/>
        <w:pBdr>
          <w:top w:val="nil"/>
          <w:left w:val="nil"/>
          <w:bottom w:val="nil"/>
          <w:right w:val="nil"/>
          <w:between w:val="nil"/>
        </w:pBdr>
        <w:spacing w:after="160" w:line="360" w:lineRule="auto"/>
        <w:ind w:left="-30" w:right="-185"/>
        <w:jc w:val="center"/>
        <w:rPr>
          <w:rFonts w:ascii="Times New Roman" w:hAnsi="Times New Roman" w:cs="Times New Roman"/>
          <w:b/>
          <w:sz w:val="24"/>
          <w:szCs w:val="24"/>
          <w:lang w:val="es-CL"/>
        </w:rPr>
      </w:pPr>
    </w:p>
    <w:p w:rsidR="00C9686B" w:rsidRDefault="00491C86" w:rsidP="00C9686B">
      <w:pPr>
        <w:pStyle w:val="normal0"/>
        <w:pBdr>
          <w:top w:val="nil"/>
          <w:left w:val="nil"/>
          <w:bottom w:val="nil"/>
          <w:right w:val="nil"/>
          <w:between w:val="nil"/>
        </w:pBdr>
        <w:spacing w:after="160" w:line="360" w:lineRule="auto"/>
        <w:ind w:left="-30" w:right="-185"/>
        <w:jc w:val="center"/>
        <w:rPr>
          <w:rFonts w:ascii="Times New Roman" w:hAnsi="Times New Roman" w:cs="Times New Roman"/>
          <w:b/>
          <w:sz w:val="24"/>
          <w:szCs w:val="24"/>
          <w:lang w:val="es-CL"/>
        </w:rPr>
      </w:pPr>
      <w:r>
        <w:rPr>
          <w:rFonts w:ascii="Times New Roman" w:hAnsi="Times New Roman" w:cs="Times New Roman"/>
          <w:b/>
          <w:sz w:val="24"/>
          <w:szCs w:val="24"/>
          <w:lang w:val="es-CL"/>
        </w:rPr>
        <w:t>BOLETÍN N° 12759-07</w:t>
      </w:r>
    </w:p>
    <w:p w:rsidR="00C9686B" w:rsidRDefault="00C9686B" w:rsidP="00C9686B">
      <w:pPr>
        <w:pStyle w:val="normal0"/>
        <w:pBdr>
          <w:top w:val="nil"/>
          <w:left w:val="nil"/>
          <w:bottom w:val="nil"/>
          <w:right w:val="nil"/>
          <w:between w:val="nil"/>
        </w:pBdr>
        <w:spacing w:after="160" w:line="360" w:lineRule="auto"/>
        <w:ind w:left="-30" w:right="-185"/>
        <w:jc w:val="both"/>
        <w:rPr>
          <w:rFonts w:ascii="Times New Roman" w:hAnsi="Times New Roman" w:cs="Times New Roman"/>
          <w:b/>
          <w:sz w:val="24"/>
          <w:szCs w:val="24"/>
          <w:lang w:val="es-CL"/>
        </w:rPr>
      </w:pPr>
    </w:p>
    <w:p w:rsidR="00C9686B" w:rsidRPr="00C9686B" w:rsidRDefault="00C9686B" w:rsidP="00C9686B">
      <w:pPr>
        <w:pStyle w:val="normal0"/>
        <w:pBdr>
          <w:top w:val="nil"/>
          <w:left w:val="nil"/>
          <w:bottom w:val="nil"/>
          <w:right w:val="nil"/>
          <w:between w:val="nil"/>
        </w:pBdr>
        <w:spacing w:after="160" w:line="360" w:lineRule="auto"/>
        <w:ind w:left="-30" w:right="-185"/>
        <w:jc w:val="both"/>
        <w:rPr>
          <w:rFonts w:ascii="Times New Roman" w:hAnsi="Times New Roman" w:cs="Times New Roman"/>
          <w:b/>
          <w:sz w:val="24"/>
          <w:szCs w:val="24"/>
          <w:lang w:val="es-CL"/>
        </w:rPr>
      </w:pPr>
    </w:p>
    <w:p w:rsidR="00E74BA0" w:rsidRDefault="00665BDF" w:rsidP="00C9686B">
      <w:pPr>
        <w:pStyle w:val="normal0"/>
        <w:numPr>
          <w:ilvl w:val="0"/>
          <w:numId w:val="5"/>
        </w:numPr>
        <w:pBdr>
          <w:top w:val="nil"/>
          <w:left w:val="nil"/>
          <w:bottom w:val="nil"/>
          <w:right w:val="nil"/>
          <w:between w:val="nil"/>
        </w:pBdr>
        <w:spacing w:after="160" w:line="360" w:lineRule="auto"/>
        <w:ind w:right="-185"/>
        <w:contextualSpacing/>
        <w:jc w:val="both"/>
        <w:rPr>
          <w:rFonts w:ascii="Times New Roman" w:hAnsi="Times New Roman" w:cs="Times New Roman"/>
          <w:b/>
          <w:sz w:val="24"/>
          <w:szCs w:val="24"/>
        </w:rPr>
      </w:pPr>
      <w:r>
        <w:rPr>
          <w:rFonts w:ascii="Times New Roman" w:hAnsi="Times New Roman" w:cs="Times New Roman"/>
          <w:b/>
          <w:sz w:val="24"/>
          <w:szCs w:val="24"/>
        </w:rPr>
        <w:t>FUNDAMENTOS DEL PROYECTO</w:t>
      </w:r>
    </w:p>
    <w:p w:rsidR="00665BDF" w:rsidRPr="00665BDF" w:rsidRDefault="00665BDF" w:rsidP="00C9686B">
      <w:pPr>
        <w:pStyle w:val="normal0"/>
        <w:pBdr>
          <w:top w:val="nil"/>
          <w:left w:val="nil"/>
          <w:bottom w:val="nil"/>
          <w:right w:val="nil"/>
          <w:between w:val="nil"/>
        </w:pBdr>
        <w:spacing w:after="160" w:line="360" w:lineRule="auto"/>
        <w:ind w:left="1440" w:right="-185"/>
        <w:contextualSpacing/>
        <w:jc w:val="right"/>
        <w:rPr>
          <w:rFonts w:ascii="Times New Roman" w:hAnsi="Times New Roman" w:cs="Times New Roman"/>
          <w:b/>
          <w:sz w:val="24"/>
          <w:szCs w:val="24"/>
        </w:rPr>
      </w:pPr>
    </w:p>
    <w:p w:rsidR="00E74BA0" w:rsidRPr="00665BDF"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La realidad demográfica chilena es evidente al demostrar que la población adulto mayor ha aumentado progresivamente en las últimas décadas. Tal como lo señala el In</w:t>
      </w:r>
      <w:bookmarkStart w:id="0" w:name="_GoBack"/>
      <w:bookmarkEnd w:id="0"/>
      <w:r w:rsidRPr="00665BDF">
        <w:rPr>
          <w:rFonts w:ascii="Times New Roman" w:hAnsi="Times New Roman" w:cs="Times New Roman"/>
          <w:sz w:val="24"/>
          <w:szCs w:val="24"/>
        </w:rPr>
        <w:t>stituto Nacional de Estadísticas, en el año 1992 la población mayor de 60 años correspondía al 9,8% del total nacional, en el año 2002 correspondía al 11,4% y se proyecta que el porcentaje actual es similar. En cuanto a géneros, más de la mitad son mujeres. La región con mayor porcentaje de adultos mayores es la Región de Valparaíso con un 13,4%, donde destacan en porcentaje altos las comunas de Viña del Mar, Olmué, Quilpué y El Quisco. Los índices demuestran que nuestra población envejece y que, por tanto, las necesidades públicas varían requiriendo un enfoque distintos en las políticas públicas para solucionarlas. Evidente es el ejemplo de la situación del sistema de seguridad social chileno en cuanto a bajas pensiones, como también el funcionamiento de la salud pública. Las deficiencias de ambos sistemas afectan directamente la calidad de vida de la población adulto mayor.</w:t>
      </w:r>
    </w:p>
    <w:p w:rsidR="00E74BA0" w:rsidRPr="00665BDF"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 xml:space="preserve">Pero existen otros problemas que enfrentan los adultos mayores, quizás de una perspectiva más personal, y que afectan el efectivo resguardo de sus derechos, particularmente del patrimonio que han podido construir luego de una larga vida de trabajo y sacrificios, y que en esta edad, es el principal sustento para muchos. </w:t>
      </w:r>
    </w:p>
    <w:p w:rsidR="00E74BA0" w:rsidRPr="00665BDF"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Constantemente se registran miles de fraudes, estafas y otras formas de abuso patrimonial que tienen como víctima a un adulto mayor y, de manera indirecta, a sus familias. Generalmente la magnitud de estas defraudaciones es tal que ha</w:t>
      </w:r>
      <w:r w:rsidR="00A85CBB">
        <w:rPr>
          <w:rFonts w:ascii="Times New Roman" w:hAnsi="Times New Roman" w:cs="Times New Roman"/>
          <w:sz w:val="24"/>
          <w:szCs w:val="24"/>
        </w:rPr>
        <w:t>n</w:t>
      </w:r>
      <w:r w:rsidRPr="00665BDF">
        <w:rPr>
          <w:rFonts w:ascii="Times New Roman" w:hAnsi="Times New Roman" w:cs="Times New Roman"/>
          <w:sz w:val="24"/>
          <w:szCs w:val="24"/>
        </w:rPr>
        <w:t xml:space="preserve"> significado la pérdida de los ahorros de toda la vida, o incluso del inmueble en el que proyectaban pasar sus últimos años de vida. La situación patrimonial del adulto mayor promedio en nuestro país agrava aún más los efectos de este tipo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 xml:space="preserve">de delitos, y a su vez, pone mayor urgencia en diseñar medios idóneos y eficaces para su prevención. </w:t>
      </w:r>
    </w:p>
    <w:p w:rsidR="006C0C06"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 xml:space="preserve">Este conjunto de defraudaciones se agrupan bajo el concepto de abuso financiero o patrimonial, utilizado por otras legislaciones a nivel comparado y que ha sido considerado en otros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lastRenderedPageBreak/>
        <w:t xml:space="preserve">proyectos de ley tramitados en este Congreso Nacional a fin de resguardar los derechos de los adultos mayores. </w:t>
      </w:r>
    </w:p>
    <w:p w:rsidR="00E74BA0" w:rsidRPr="00665BDF" w:rsidRDefault="006C0C06"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Pr>
          <w:rFonts w:ascii="Times New Roman" w:hAnsi="Times New Roman" w:cs="Times New Roman"/>
          <w:sz w:val="24"/>
          <w:szCs w:val="24"/>
        </w:rPr>
        <w:t>Hablamos de</w:t>
      </w:r>
      <w:r w:rsidR="00665BDF" w:rsidRPr="00665BDF">
        <w:rPr>
          <w:rFonts w:ascii="Times New Roman" w:hAnsi="Times New Roman" w:cs="Times New Roman"/>
          <w:sz w:val="24"/>
          <w:szCs w:val="24"/>
        </w:rPr>
        <w:t xml:space="preserve"> abuso financiero contra un adulto mayor cuando alguien, directamente o colaborando, toma, se apropia, obtiene o retiene la propiedad real o personal de dicho adulto mayor, para hacer uso indebido de ellos o con la intención de defraudar, o ambos</w:t>
      </w:r>
      <w:r w:rsidR="00665BDF" w:rsidRPr="00665BDF">
        <w:rPr>
          <w:rFonts w:ascii="Times New Roman" w:hAnsi="Times New Roman" w:cs="Times New Roman"/>
          <w:sz w:val="24"/>
          <w:szCs w:val="24"/>
          <w:vertAlign w:val="superscript"/>
        </w:rPr>
        <w:footnoteReference w:id="1"/>
      </w:r>
      <w:r w:rsidR="00665BDF" w:rsidRPr="00665BDF">
        <w:rPr>
          <w:rFonts w:ascii="Times New Roman" w:hAnsi="Times New Roman" w:cs="Times New Roman"/>
          <w:sz w:val="24"/>
          <w:szCs w:val="24"/>
        </w:rPr>
        <w:t xml:space="preserve">. </w:t>
      </w:r>
    </w:p>
    <w:p w:rsidR="00E74BA0" w:rsidRPr="00665BDF"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En primer lugar debemos trazar ciertas diferencias entre el abuso de carácter patrimonial y el</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 xml:space="preserve"> abuso físico que pueda sufrir un adulto mayor. Para Hafemeister (2003), las principal diferencia</w:t>
      </w:r>
      <w:r w:rsidR="005C77E2">
        <w:rPr>
          <w:rFonts w:ascii="Times New Roman" w:hAnsi="Times New Roman" w:cs="Times New Roman"/>
          <w:sz w:val="24"/>
          <w:szCs w:val="24"/>
        </w:rPr>
        <w:t xml:space="preserve"> está</w:t>
      </w:r>
      <w:r w:rsidRPr="00665BDF">
        <w:rPr>
          <w:rFonts w:ascii="Times New Roman" w:hAnsi="Times New Roman" w:cs="Times New Roman"/>
          <w:sz w:val="24"/>
          <w:szCs w:val="24"/>
        </w:rPr>
        <w:t xml:space="preserve"> en las posibilidades de detectar la ocurrencia del abuso patrimonial, dado que, a pesar de presentarse con mayor frecuencia que el abuso físico, este ocurre con el consentimiento tácito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de la víctima quien deposita la confianza en un familiar, amigo o cuidador. Este es un elemento importante cuando la víctima es un adulto mayor, en relación a la dependencia que tiene generalmente la persona mayor respecto de otra que la asiste en sus labores domésticas.</w:t>
      </w:r>
    </w:p>
    <w:p w:rsidR="00E74BA0" w:rsidRPr="00665BDF"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 xml:space="preserve">A esto se agrega que el abuso financiero, generalmente, se desarrolla dentro de procesos o prestaciones que entrega un tercero, y cuya concurrencia es necesaria para que se produzca el traslado ilegítimo de bienes desde el adulto mayor víctima al defraudador, como lo es, por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 xml:space="preserve">ejemplo, la celebración de un contrato de mandato mediante escritura pública ante notario, o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bien, la suscripción de un mandato especial para acceder a fondos mutuos del adulto mayor en</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 xml:space="preserve"> una institución financiera. Vale decir, la ocurrencia de este tipo de abuso patrimonial se realiza ante la presencia o actuación de un funcionario público, un auxiliar de la administración de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 xml:space="preserve">justicia o un empleado de una institución financiera o similar, quien podría detectar la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 xml:space="preserve">ocurrencia e informarla a fin de realizar la investigación correspondiente. </w:t>
      </w:r>
    </w:p>
    <w:p w:rsidR="00E74BA0"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Por otra parte, el autor de este tipo de conductas puede provenir, ya sea del círculo familiar del adulto mayor, o bien, de un tercero ajeno. Respecto al primer supuesto, no cabe duda que el reproche de esta conducta es mayor, en cuanto la realización de ella se encuentra directamente favorecida por el vínculo de confianza con el adulto mayor víctima, además de valerse de circunstancias cotidianas para cometer el acto ilícito.</w:t>
      </w:r>
    </w:p>
    <w:p w:rsidR="00C9686B" w:rsidRDefault="00C9686B">
      <w:pPr>
        <w:rPr>
          <w:rFonts w:ascii="Times New Roman" w:hAnsi="Times New Roman" w:cs="Times New Roman"/>
          <w:sz w:val="24"/>
          <w:szCs w:val="24"/>
        </w:rPr>
      </w:pPr>
      <w:r>
        <w:rPr>
          <w:rFonts w:ascii="Times New Roman" w:hAnsi="Times New Roman" w:cs="Times New Roman"/>
          <w:sz w:val="24"/>
          <w:szCs w:val="24"/>
        </w:rPr>
        <w:br w:type="page"/>
      </w:r>
    </w:p>
    <w:p w:rsidR="00C9686B" w:rsidRDefault="00C9686B"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5C77E2" w:rsidRPr="00665BDF" w:rsidRDefault="005C77E2"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Pr>
          <w:rFonts w:ascii="Times New Roman" w:hAnsi="Times New Roman" w:cs="Times New Roman"/>
          <w:sz w:val="24"/>
          <w:szCs w:val="24"/>
        </w:rPr>
        <w:t xml:space="preserve">Como se ha dicho, el abuso patrimonial puede afectar tanto a bienes inmuebles de propiedad del adulto mayor como también determinados bienes muebles. Respecto de este último, cobra </w:t>
      </w:r>
      <w:r w:rsidR="00C9686B">
        <w:rPr>
          <w:rFonts w:ascii="Times New Roman" w:hAnsi="Times New Roman" w:cs="Times New Roman"/>
          <w:sz w:val="24"/>
          <w:szCs w:val="24"/>
          <w:lang w:val="es-CL"/>
        </w:rPr>
        <w:t xml:space="preserve">  </w:t>
      </w:r>
      <w:r>
        <w:rPr>
          <w:rFonts w:ascii="Times New Roman" w:hAnsi="Times New Roman" w:cs="Times New Roman"/>
          <w:sz w:val="24"/>
          <w:szCs w:val="24"/>
        </w:rPr>
        <w:t>especial relevancia el dinero que pueda tener el adulto mayor, ya sea que estén bajo la custodia</w:t>
      </w:r>
      <w:r w:rsidR="00C9686B">
        <w:rPr>
          <w:rFonts w:ascii="Times New Roman" w:hAnsi="Times New Roman" w:cs="Times New Roman"/>
          <w:sz w:val="24"/>
          <w:szCs w:val="24"/>
          <w:lang w:val="es-CL"/>
        </w:rPr>
        <w:t xml:space="preserve">   </w:t>
      </w:r>
      <w:r>
        <w:rPr>
          <w:rFonts w:ascii="Times New Roman" w:hAnsi="Times New Roman" w:cs="Times New Roman"/>
          <w:sz w:val="24"/>
          <w:szCs w:val="24"/>
        </w:rPr>
        <w:t xml:space="preserve"> de una institución financiera o banco, o bien administrados y custodiados </w:t>
      </w:r>
      <w:r w:rsidR="006C0C06">
        <w:rPr>
          <w:rFonts w:ascii="Times New Roman" w:hAnsi="Times New Roman" w:cs="Times New Roman"/>
          <w:sz w:val="24"/>
          <w:szCs w:val="24"/>
        </w:rPr>
        <w:t>por una institución previsional, en cuanto a que generalmente dichos recursos son el principal sustento del adulto mayor cuando él se encuentra fuera del mercado laboral.</w:t>
      </w:r>
    </w:p>
    <w:p w:rsidR="00E74BA0" w:rsidRPr="00665BDF"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 xml:space="preserve">Respecto de operaciones bancarias fraudulentas en las cuales el usuario afectado sea un adulto mayor, es urgente que las instituciones bancarias tomen mayores resguardos a fin de evitar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fraudes que afecten el patrimonio de estas personas, particularmente cuando ellos cuentan con herramientas idóneas para reducir esos riesgos.</w:t>
      </w:r>
    </w:p>
    <w:p w:rsidR="00E74BA0" w:rsidRPr="00665BDF"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 xml:space="preserve">Esta última observación ha sido considerada por la legislación norteamericana, tanto a nivel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 xml:space="preserve">federal como estatal, a fin de establecer un deber de informar sobre situaciones sospechosas de abuso financiero contra el adulto mayor. Este deber de informar se ubica dentro de un deber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 xml:space="preserve">mayor relacionado con la obligación de informar respecto de las denominadas </w:t>
      </w:r>
      <w:r w:rsidRPr="00665BDF">
        <w:rPr>
          <w:rFonts w:ascii="Times New Roman" w:hAnsi="Times New Roman" w:cs="Times New Roman"/>
          <w:i/>
          <w:sz w:val="24"/>
          <w:szCs w:val="24"/>
        </w:rPr>
        <w:t xml:space="preserve">Suspicious </w:t>
      </w:r>
      <w:r w:rsidR="00C9686B">
        <w:rPr>
          <w:rFonts w:ascii="Times New Roman" w:hAnsi="Times New Roman" w:cs="Times New Roman"/>
          <w:i/>
          <w:sz w:val="24"/>
          <w:szCs w:val="24"/>
          <w:lang w:val="es-CL"/>
        </w:rPr>
        <w:t xml:space="preserve">   </w:t>
      </w:r>
      <w:r w:rsidRPr="00665BDF">
        <w:rPr>
          <w:rFonts w:ascii="Times New Roman" w:hAnsi="Times New Roman" w:cs="Times New Roman"/>
          <w:i/>
          <w:sz w:val="24"/>
          <w:szCs w:val="24"/>
        </w:rPr>
        <w:t xml:space="preserve">Activity Reports </w:t>
      </w:r>
      <w:r w:rsidRPr="00665BDF">
        <w:rPr>
          <w:rFonts w:ascii="Times New Roman" w:hAnsi="Times New Roman" w:cs="Times New Roman"/>
          <w:sz w:val="24"/>
          <w:szCs w:val="24"/>
        </w:rPr>
        <w:t>en el mundo financiero. El Departamento</w:t>
      </w:r>
      <w:r w:rsidR="001B2E9B">
        <w:rPr>
          <w:rFonts w:ascii="Times New Roman" w:hAnsi="Times New Roman" w:cs="Times New Roman"/>
          <w:sz w:val="24"/>
          <w:szCs w:val="24"/>
        </w:rPr>
        <w:t xml:space="preserve"> del Tesoro espera la </w:t>
      </w:r>
      <w:r w:rsidRPr="00665BDF">
        <w:rPr>
          <w:rFonts w:ascii="Times New Roman" w:hAnsi="Times New Roman" w:cs="Times New Roman"/>
          <w:sz w:val="24"/>
          <w:szCs w:val="24"/>
        </w:rPr>
        <w:t xml:space="preserve">presentación de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un informe (report) cuando las instituciones financieras conozcan, sospechen o tengan motivos para sospechar que una transacción no tiene un propósito comercial o un fin aparentemente legítimo o no es del tipo en que normalmente se espera que un cliente adulto mayor se comprometa</w:t>
      </w:r>
      <w:r w:rsidRPr="00665BDF">
        <w:rPr>
          <w:rFonts w:ascii="Times New Roman" w:hAnsi="Times New Roman" w:cs="Times New Roman"/>
          <w:sz w:val="24"/>
          <w:szCs w:val="24"/>
          <w:vertAlign w:val="superscript"/>
        </w:rPr>
        <w:footnoteReference w:id="2"/>
      </w:r>
      <w:r w:rsidRPr="00665BDF">
        <w:rPr>
          <w:rFonts w:ascii="Times New Roman" w:hAnsi="Times New Roman" w:cs="Times New Roman"/>
          <w:sz w:val="24"/>
          <w:szCs w:val="24"/>
        </w:rPr>
        <w:t xml:space="preserve">. </w:t>
      </w:r>
      <w:r w:rsidR="001B2E9B">
        <w:rPr>
          <w:rFonts w:ascii="Times New Roman" w:hAnsi="Times New Roman" w:cs="Times New Roman"/>
          <w:sz w:val="24"/>
          <w:szCs w:val="24"/>
        </w:rPr>
        <w:t>En este sentido, las instituciones financieras elaboran perfiles de comportamiento financiero por cliente, teniendo en especial consideración aquellos características que aumenten</w:t>
      </w:r>
      <w:r w:rsidR="00C9686B">
        <w:rPr>
          <w:rFonts w:ascii="Times New Roman" w:hAnsi="Times New Roman" w:cs="Times New Roman"/>
          <w:sz w:val="24"/>
          <w:szCs w:val="24"/>
          <w:lang w:val="es-CL"/>
        </w:rPr>
        <w:t xml:space="preserve"> </w:t>
      </w:r>
      <w:r w:rsidR="001B2E9B">
        <w:rPr>
          <w:rFonts w:ascii="Times New Roman" w:hAnsi="Times New Roman" w:cs="Times New Roman"/>
          <w:sz w:val="24"/>
          <w:szCs w:val="24"/>
        </w:rPr>
        <w:t xml:space="preserve"> los riesgos de ser víctimas de estos delitos. </w:t>
      </w:r>
    </w:p>
    <w:p w:rsidR="001B2E9B" w:rsidRPr="00665BDF" w:rsidRDefault="001B2E9B" w:rsidP="00C9686B">
      <w:pPr>
        <w:pStyle w:val="normal0"/>
        <w:pBdr>
          <w:top w:val="nil"/>
          <w:left w:val="nil"/>
          <w:bottom w:val="nil"/>
          <w:right w:val="nil"/>
          <w:between w:val="nil"/>
        </w:pBdr>
        <w:spacing w:after="160" w:line="360" w:lineRule="auto"/>
        <w:ind w:right="-185"/>
        <w:jc w:val="both"/>
        <w:rPr>
          <w:rFonts w:ascii="Times New Roman" w:eastAsia="Times New Roman" w:hAnsi="Times New Roman" w:cs="Times New Roman"/>
          <w:sz w:val="24"/>
          <w:szCs w:val="24"/>
          <w:highlight w:val="white"/>
        </w:rPr>
      </w:pPr>
      <w:r>
        <w:rPr>
          <w:rFonts w:ascii="Times New Roman" w:hAnsi="Times New Roman" w:cs="Times New Roman"/>
          <w:sz w:val="24"/>
          <w:szCs w:val="24"/>
          <w:highlight w:val="white"/>
        </w:rPr>
        <w:t>Concretamente, e</w:t>
      </w:r>
      <w:r w:rsidRPr="00665BDF">
        <w:rPr>
          <w:rFonts w:ascii="Times New Roman" w:hAnsi="Times New Roman" w:cs="Times New Roman"/>
          <w:sz w:val="24"/>
          <w:szCs w:val="24"/>
          <w:highlight w:val="white"/>
        </w:rPr>
        <w:t xml:space="preserve">l Departamento del Tesoro ha establecido un catálogo ejemplar de conductas </w:t>
      </w:r>
      <w:r w:rsidR="00C9686B">
        <w:rPr>
          <w:rFonts w:ascii="Times New Roman" w:hAnsi="Times New Roman" w:cs="Times New Roman"/>
          <w:sz w:val="24"/>
          <w:szCs w:val="24"/>
          <w:highlight w:val="white"/>
          <w:lang w:val="es-CL"/>
        </w:rPr>
        <w:t xml:space="preserve">  </w:t>
      </w:r>
      <w:r w:rsidRPr="00665BDF">
        <w:rPr>
          <w:rFonts w:ascii="Times New Roman" w:hAnsi="Times New Roman" w:cs="Times New Roman"/>
          <w:sz w:val="24"/>
          <w:szCs w:val="24"/>
          <w:highlight w:val="white"/>
        </w:rPr>
        <w:t>que pueden implicar un abuso de este tipo:</w:t>
      </w:r>
    </w:p>
    <w:p w:rsidR="001B2E9B" w:rsidRPr="00665BDF" w:rsidRDefault="001B2E9B" w:rsidP="00C9686B">
      <w:pPr>
        <w:pStyle w:val="normal0"/>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1.Transacciones bancarias erráticas o inusuales, o cambios en patrones bancarios, como por ejemplo:</w:t>
      </w:r>
    </w:p>
    <w:p w:rsidR="001B2E9B" w:rsidRPr="00665BDF" w:rsidRDefault="001B2E9B" w:rsidP="00C9686B">
      <w:pPr>
        <w:pStyle w:val="normal0"/>
        <w:numPr>
          <w:ilvl w:val="0"/>
          <w:numId w:val="9"/>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Retiros frecuentes y de altas sumas de dinero, incluyendo retiros máximos diarios de divisas desde un cajero automático;</w:t>
      </w:r>
    </w:p>
    <w:p w:rsidR="001B2E9B" w:rsidRPr="00665BDF" w:rsidRDefault="001B2E9B" w:rsidP="00C9686B">
      <w:pPr>
        <w:pStyle w:val="normal0"/>
        <w:numPr>
          <w:ilvl w:val="0"/>
          <w:numId w:val="9"/>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Súbita falta de fondos;</w:t>
      </w:r>
    </w:p>
    <w:p w:rsidR="00C9686B" w:rsidRDefault="00C9686B">
      <w:pPr>
        <w:rPr>
          <w:rFonts w:ascii="Times New Roman" w:hAnsi="Times New Roman" w:cs="Times New Roman"/>
          <w:sz w:val="24"/>
          <w:szCs w:val="24"/>
          <w:highlight w:val="white"/>
        </w:rPr>
      </w:pPr>
      <w:r>
        <w:rPr>
          <w:rFonts w:ascii="Times New Roman" w:hAnsi="Times New Roman" w:cs="Times New Roman"/>
          <w:sz w:val="24"/>
          <w:szCs w:val="24"/>
          <w:highlight w:val="white"/>
        </w:rPr>
        <w:br w:type="page"/>
      </w:r>
    </w:p>
    <w:p w:rsidR="00C9686B" w:rsidRPr="00C9686B" w:rsidRDefault="00C9686B" w:rsidP="00C9686B">
      <w:pPr>
        <w:pStyle w:val="normal0"/>
        <w:spacing w:line="360" w:lineRule="auto"/>
        <w:ind w:left="1418" w:right="-185"/>
        <w:jc w:val="both"/>
        <w:rPr>
          <w:rFonts w:ascii="Times New Roman" w:hAnsi="Times New Roman" w:cs="Times New Roman"/>
          <w:sz w:val="24"/>
          <w:szCs w:val="24"/>
          <w:highlight w:val="white"/>
        </w:rPr>
      </w:pPr>
    </w:p>
    <w:p w:rsidR="001B2E9B" w:rsidRPr="00665BDF" w:rsidRDefault="001B2E9B" w:rsidP="00C9686B">
      <w:pPr>
        <w:pStyle w:val="normal0"/>
        <w:numPr>
          <w:ilvl w:val="0"/>
          <w:numId w:val="9"/>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Incumplimiento financiero poco característico, lo que puede indicar pérdida de fondos o no acceso a los mismos;</w:t>
      </w:r>
    </w:p>
    <w:p w:rsidR="001B2E9B" w:rsidRPr="00665BDF" w:rsidRDefault="001B2E9B" w:rsidP="00C9686B">
      <w:pPr>
        <w:pStyle w:val="normal0"/>
        <w:numPr>
          <w:ilvl w:val="0"/>
          <w:numId w:val="9"/>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Transacciones de débito que son inconsistentes para el adulto mayor;</w:t>
      </w:r>
    </w:p>
    <w:p w:rsidR="001B2E9B" w:rsidRPr="00665BDF" w:rsidRDefault="001B2E9B" w:rsidP="00C9686B">
      <w:pPr>
        <w:pStyle w:val="normal0"/>
        <w:numPr>
          <w:ilvl w:val="0"/>
          <w:numId w:val="9"/>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Envíos por Internet, poco comunes, de grandes sumas de dinero;</w:t>
      </w:r>
    </w:p>
    <w:p w:rsidR="001B2E9B" w:rsidRPr="00665BDF" w:rsidRDefault="001B2E9B" w:rsidP="00C9686B">
      <w:pPr>
        <w:pStyle w:val="normal0"/>
        <w:numPr>
          <w:ilvl w:val="0"/>
          <w:numId w:val="9"/>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Cierre de cuentas sin considerar las sanciones asociadas.</w:t>
      </w:r>
    </w:p>
    <w:p w:rsidR="001B2E9B" w:rsidRPr="00665BDF" w:rsidRDefault="001B2E9B" w:rsidP="00C9686B">
      <w:pPr>
        <w:pStyle w:val="normal0"/>
        <w:spacing w:line="360" w:lineRule="auto"/>
        <w:ind w:left="300" w:right="-185"/>
        <w:jc w:val="both"/>
        <w:rPr>
          <w:rFonts w:ascii="Times New Roman" w:hAnsi="Times New Roman" w:cs="Times New Roman"/>
          <w:sz w:val="24"/>
          <w:szCs w:val="24"/>
          <w:highlight w:val="white"/>
        </w:rPr>
      </w:pPr>
    </w:p>
    <w:p w:rsidR="001B2E9B" w:rsidRPr="00665BDF" w:rsidRDefault="001B2E9B" w:rsidP="00C9686B">
      <w:pPr>
        <w:pStyle w:val="normal0"/>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 xml:space="preserve">2. Interacciones de empleados financieros con clientes o cuidadores del adulto mayor, por </w:t>
      </w:r>
      <w:r w:rsidR="00C9686B">
        <w:rPr>
          <w:rFonts w:ascii="Times New Roman" w:hAnsi="Times New Roman" w:cs="Times New Roman"/>
          <w:sz w:val="24"/>
          <w:szCs w:val="24"/>
          <w:highlight w:val="white"/>
          <w:lang w:val="es-CL"/>
        </w:rPr>
        <w:t xml:space="preserve"> </w:t>
      </w:r>
      <w:r w:rsidRPr="00665BDF">
        <w:rPr>
          <w:rFonts w:ascii="Times New Roman" w:hAnsi="Times New Roman" w:cs="Times New Roman"/>
          <w:sz w:val="24"/>
          <w:szCs w:val="24"/>
          <w:highlight w:val="white"/>
        </w:rPr>
        <w:t>ejemplo:</w:t>
      </w:r>
    </w:p>
    <w:p w:rsidR="001B2E9B" w:rsidRPr="00665BDF" w:rsidRDefault="001B2E9B" w:rsidP="00C9686B">
      <w:pPr>
        <w:pStyle w:val="normal0"/>
        <w:numPr>
          <w:ilvl w:val="0"/>
          <w:numId w:val="7"/>
        </w:numPr>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El cuidador u otro individuo muestra un interés excesivo en las finanzas o bienes del adulto mayor, no permite que éste hable por sí mismo, o es renuente a dejarlo solo durante las conversaciones;</w:t>
      </w:r>
    </w:p>
    <w:p w:rsidR="001B2E9B" w:rsidRPr="00665BDF" w:rsidRDefault="001B2E9B" w:rsidP="00C9686B">
      <w:pPr>
        <w:pStyle w:val="normal0"/>
        <w:numPr>
          <w:ilvl w:val="0"/>
          <w:numId w:val="7"/>
        </w:numPr>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 xml:space="preserve">El adulto mayor muestra un grado inusual de miedo o sumisión hacia un </w:t>
      </w:r>
      <w:r w:rsidR="00C9686B">
        <w:rPr>
          <w:rFonts w:ascii="Times New Roman" w:hAnsi="Times New Roman" w:cs="Times New Roman"/>
          <w:sz w:val="24"/>
          <w:szCs w:val="24"/>
          <w:highlight w:val="white"/>
          <w:lang w:val="es-CL"/>
        </w:rPr>
        <w:t xml:space="preserve">    </w:t>
      </w:r>
      <w:r w:rsidRPr="00665BDF">
        <w:rPr>
          <w:rFonts w:ascii="Times New Roman" w:hAnsi="Times New Roman" w:cs="Times New Roman"/>
          <w:sz w:val="24"/>
          <w:szCs w:val="24"/>
          <w:highlight w:val="white"/>
        </w:rPr>
        <w:t>cuidador, o expresa un temor a ser desalojado o a ser ingresado a un hogar de adultos mayores si no le entrega dinero a su cuidador;</w:t>
      </w:r>
    </w:p>
    <w:p w:rsidR="001B2E9B" w:rsidRPr="00665BDF" w:rsidRDefault="001B2E9B" w:rsidP="00C9686B">
      <w:pPr>
        <w:pStyle w:val="normal0"/>
        <w:numPr>
          <w:ilvl w:val="0"/>
          <w:numId w:val="7"/>
        </w:numPr>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 xml:space="preserve">La institución financiera no puede hablar directamente con el adulto mayor, a </w:t>
      </w:r>
      <w:r w:rsidR="00C9686B">
        <w:rPr>
          <w:rFonts w:ascii="Times New Roman" w:hAnsi="Times New Roman" w:cs="Times New Roman"/>
          <w:sz w:val="24"/>
          <w:szCs w:val="24"/>
          <w:highlight w:val="white"/>
          <w:lang w:val="es-CL"/>
        </w:rPr>
        <w:t xml:space="preserve">  </w:t>
      </w:r>
      <w:r w:rsidRPr="00665BDF">
        <w:rPr>
          <w:rFonts w:ascii="Times New Roman" w:hAnsi="Times New Roman" w:cs="Times New Roman"/>
          <w:sz w:val="24"/>
          <w:szCs w:val="24"/>
          <w:highlight w:val="white"/>
        </w:rPr>
        <w:t>pesar de reiterados intentos por contactarlo;</w:t>
      </w:r>
    </w:p>
    <w:p w:rsidR="001B2E9B" w:rsidRPr="00665BDF" w:rsidRDefault="001B2E9B" w:rsidP="00C9686B">
      <w:pPr>
        <w:pStyle w:val="normal0"/>
        <w:numPr>
          <w:ilvl w:val="0"/>
          <w:numId w:val="7"/>
        </w:numPr>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Un nuevo cuidador, pariente o amigo comienza repentinamente a realizar transacciones financieras en nombre del adulto mayor, sin la documentación apropiada;</w:t>
      </w:r>
    </w:p>
    <w:p w:rsidR="001B2E9B" w:rsidRPr="00665BDF" w:rsidRDefault="001B2E9B" w:rsidP="00C9686B">
      <w:pPr>
        <w:pStyle w:val="normal0"/>
        <w:numPr>
          <w:ilvl w:val="0"/>
          <w:numId w:val="7"/>
        </w:numPr>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La gestión financiera del adulto mayor  cambia repentinamente, por ejemplo, a través de un poder a un miembro de la familia diferente al habitual, o a un nuevo individuo;</w:t>
      </w:r>
    </w:p>
    <w:p w:rsidR="001B2E9B" w:rsidRPr="00665BDF" w:rsidRDefault="001B2E9B" w:rsidP="00C9686B">
      <w:pPr>
        <w:pStyle w:val="normal0"/>
        <w:numPr>
          <w:ilvl w:val="0"/>
          <w:numId w:val="7"/>
        </w:numPr>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El adulto mayor carece de conocimiento sobre su situación financiera, o muestra una súbita renuencia a discutir sus asuntos financieros.</w:t>
      </w:r>
    </w:p>
    <w:p w:rsidR="001B2E9B" w:rsidRPr="00665BDF" w:rsidRDefault="001B2E9B" w:rsidP="00C9686B">
      <w:pPr>
        <w:pStyle w:val="normal0"/>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 xml:space="preserve"> </w:t>
      </w:r>
    </w:p>
    <w:p w:rsidR="001B2E9B" w:rsidRPr="00665BDF" w:rsidRDefault="001B2E9B" w:rsidP="00C9686B">
      <w:pPr>
        <w:pStyle w:val="normal0"/>
        <w:spacing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 xml:space="preserve">Por su parte, el </w:t>
      </w:r>
      <w:r w:rsidRPr="00665BDF">
        <w:rPr>
          <w:rFonts w:ascii="Times New Roman" w:hAnsi="Times New Roman" w:cs="Times New Roman"/>
          <w:i/>
          <w:sz w:val="24"/>
          <w:szCs w:val="24"/>
          <w:highlight w:val="white"/>
        </w:rPr>
        <w:t>National Committee for the Prevention of Elder Abuse</w:t>
      </w:r>
      <w:r w:rsidRPr="00665BDF">
        <w:rPr>
          <w:rFonts w:ascii="Times New Roman" w:hAnsi="Times New Roman" w:cs="Times New Roman"/>
          <w:sz w:val="24"/>
          <w:szCs w:val="24"/>
          <w:highlight w:val="white"/>
        </w:rPr>
        <w:t xml:space="preserve"> (s/f) estima que son conductas propias de un abuso financiero las siguientes:</w:t>
      </w:r>
    </w:p>
    <w:p w:rsidR="001B2E9B" w:rsidRPr="00665BDF" w:rsidRDefault="001B2E9B" w:rsidP="00C9686B">
      <w:pPr>
        <w:pStyle w:val="normal0"/>
        <w:numPr>
          <w:ilvl w:val="0"/>
          <w:numId w:val="8"/>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Desprenderse de dinero o de propiedades;</w:t>
      </w:r>
    </w:p>
    <w:p w:rsidR="001B2E9B" w:rsidRPr="00665BDF" w:rsidRDefault="001B2E9B" w:rsidP="00C9686B">
      <w:pPr>
        <w:pStyle w:val="normal0"/>
        <w:numPr>
          <w:ilvl w:val="0"/>
          <w:numId w:val="8"/>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Copiar la firma de un adulto mayor;</w:t>
      </w:r>
    </w:p>
    <w:p w:rsidR="001B2E9B" w:rsidRPr="00665BDF" w:rsidRDefault="001B2E9B" w:rsidP="00C9686B">
      <w:pPr>
        <w:pStyle w:val="normal0"/>
        <w:numPr>
          <w:ilvl w:val="0"/>
          <w:numId w:val="8"/>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 xml:space="preserve">Conseguir que una persona mayor firme una escritura, sin su voluntad o por </w:t>
      </w:r>
      <w:r w:rsidR="00C9686B">
        <w:rPr>
          <w:rFonts w:ascii="Times New Roman" w:hAnsi="Times New Roman" w:cs="Times New Roman"/>
          <w:sz w:val="24"/>
          <w:szCs w:val="24"/>
          <w:highlight w:val="white"/>
          <w:lang w:val="es-CL"/>
        </w:rPr>
        <w:t xml:space="preserve">    </w:t>
      </w:r>
      <w:r w:rsidRPr="00665BDF">
        <w:rPr>
          <w:rFonts w:ascii="Times New Roman" w:hAnsi="Times New Roman" w:cs="Times New Roman"/>
          <w:sz w:val="24"/>
          <w:szCs w:val="24"/>
          <w:highlight w:val="white"/>
        </w:rPr>
        <w:t>medio de un poder, existiendo engaño, coerción o influencia indebida;</w:t>
      </w:r>
    </w:p>
    <w:p w:rsidR="00C9686B" w:rsidRDefault="00C9686B">
      <w:pPr>
        <w:rPr>
          <w:rFonts w:ascii="Times New Roman" w:hAnsi="Times New Roman" w:cs="Times New Roman"/>
          <w:sz w:val="24"/>
          <w:szCs w:val="24"/>
          <w:highlight w:val="white"/>
        </w:rPr>
      </w:pPr>
      <w:r>
        <w:rPr>
          <w:rFonts w:ascii="Times New Roman" w:hAnsi="Times New Roman" w:cs="Times New Roman"/>
          <w:sz w:val="24"/>
          <w:szCs w:val="24"/>
          <w:highlight w:val="white"/>
        </w:rPr>
        <w:br w:type="page"/>
      </w:r>
    </w:p>
    <w:p w:rsidR="00C9686B" w:rsidRPr="00C9686B" w:rsidRDefault="00C9686B" w:rsidP="00C9686B">
      <w:pPr>
        <w:pStyle w:val="normal0"/>
        <w:spacing w:line="360" w:lineRule="auto"/>
        <w:ind w:left="1418" w:right="-185"/>
        <w:jc w:val="both"/>
        <w:rPr>
          <w:rFonts w:ascii="Times New Roman" w:hAnsi="Times New Roman" w:cs="Times New Roman"/>
          <w:sz w:val="24"/>
          <w:szCs w:val="24"/>
          <w:highlight w:val="white"/>
        </w:rPr>
      </w:pPr>
    </w:p>
    <w:p w:rsidR="001B2E9B" w:rsidRPr="00665BDF" w:rsidRDefault="001B2E9B" w:rsidP="00C9686B">
      <w:pPr>
        <w:pStyle w:val="normal0"/>
        <w:numPr>
          <w:ilvl w:val="0"/>
          <w:numId w:val="8"/>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Usar una propiedad o posesiones del adulto mayor sin permiso;</w:t>
      </w:r>
    </w:p>
    <w:p w:rsidR="001B2E9B" w:rsidRPr="00665BDF" w:rsidRDefault="001B2E9B" w:rsidP="00C9686B">
      <w:pPr>
        <w:pStyle w:val="normal0"/>
        <w:numPr>
          <w:ilvl w:val="0"/>
          <w:numId w:val="8"/>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 xml:space="preserve">Prometer el cuidado a lo largo de toda la vida del adulto mayor, a cambio de </w:t>
      </w:r>
      <w:r w:rsidR="00C9686B">
        <w:rPr>
          <w:rFonts w:ascii="Times New Roman" w:hAnsi="Times New Roman" w:cs="Times New Roman"/>
          <w:sz w:val="24"/>
          <w:szCs w:val="24"/>
          <w:highlight w:val="white"/>
          <w:lang w:val="es-CL"/>
        </w:rPr>
        <w:t xml:space="preserve">   </w:t>
      </w:r>
      <w:r w:rsidRPr="00665BDF">
        <w:rPr>
          <w:rFonts w:ascii="Times New Roman" w:hAnsi="Times New Roman" w:cs="Times New Roman"/>
          <w:sz w:val="24"/>
          <w:szCs w:val="24"/>
          <w:highlight w:val="white"/>
        </w:rPr>
        <w:t>dinero o propiedad y no cumplir la promesa;</w:t>
      </w:r>
    </w:p>
    <w:p w:rsidR="001B2E9B" w:rsidRPr="00665BDF" w:rsidRDefault="001B2E9B" w:rsidP="00C9686B">
      <w:pPr>
        <w:pStyle w:val="normal0"/>
        <w:numPr>
          <w:ilvl w:val="0"/>
          <w:numId w:val="8"/>
        </w:numPr>
        <w:spacing w:line="360" w:lineRule="auto"/>
        <w:ind w:left="1418" w:right="-185"/>
        <w:jc w:val="both"/>
        <w:rPr>
          <w:rFonts w:ascii="Times New Roman" w:hAnsi="Times New Roman" w:cs="Times New Roman"/>
          <w:sz w:val="24"/>
          <w:szCs w:val="24"/>
          <w:highlight w:val="white"/>
        </w:rPr>
      </w:pPr>
      <w:r w:rsidRPr="00665BDF">
        <w:rPr>
          <w:rFonts w:ascii="Times New Roman" w:hAnsi="Times New Roman" w:cs="Times New Roman"/>
          <w:sz w:val="24"/>
          <w:szCs w:val="24"/>
          <w:highlight w:val="white"/>
        </w:rPr>
        <w:t xml:space="preserve">Estafas de </w:t>
      </w:r>
      <w:r w:rsidRPr="00665BDF">
        <w:rPr>
          <w:rFonts w:ascii="Times New Roman" w:hAnsi="Times New Roman" w:cs="Times New Roman"/>
          <w:i/>
          <w:sz w:val="24"/>
          <w:szCs w:val="24"/>
          <w:highlight w:val="white"/>
        </w:rPr>
        <w:t>telemarketing</w:t>
      </w:r>
      <w:r w:rsidRPr="00665BDF">
        <w:rPr>
          <w:rFonts w:ascii="Times New Roman" w:hAnsi="Times New Roman" w:cs="Times New Roman"/>
          <w:sz w:val="24"/>
          <w:szCs w:val="24"/>
          <w:highlight w:val="white"/>
        </w:rPr>
        <w:t>. Los agresores llaman a las víctimas y usan el engaño, o tácticas de miedo o afirmaciones exageradas para que envíen dinero.</w:t>
      </w:r>
    </w:p>
    <w:p w:rsidR="00E74BA0" w:rsidRPr="00665BDF" w:rsidRDefault="00E74BA0"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p>
    <w:p w:rsidR="00E74BA0" w:rsidRPr="00665BDF"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rPr>
      </w:pPr>
      <w:r w:rsidRPr="00665BDF">
        <w:rPr>
          <w:rFonts w:ascii="Times New Roman" w:hAnsi="Times New Roman" w:cs="Times New Roman"/>
          <w:sz w:val="24"/>
          <w:szCs w:val="24"/>
        </w:rPr>
        <w:t xml:space="preserve">Dentro del contexto nacional, el Servicio Nacional del Adulto Mayor (SENAMA) ha definido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 xml:space="preserve">el abuso patrimonial como “mal uso, explotación o apropiación de los bienes de la persona </w:t>
      </w:r>
      <w:r w:rsidR="00C9686B">
        <w:rPr>
          <w:rFonts w:ascii="Times New Roman" w:hAnsi="Times New Roman" w:cs="Times New Roman"/>
          <w:sz w:val="24"/>
          <w:szCs w:val="24"/>
          <w:lang w:val="es-CL"/>
        </w:rPr>
        <w:t xml:space="preserve">   </w:t>
      </w:r>
      <w:r w:rsidRPr="00665BDF">
        <w:rPr>
          <w:rFonts w:ascii="Times New Roman" w:hAnsi="Times New Roman" w:cs="Times New Roman"/>
          <w:sz w:val="24"/>
          <w:szCs w:val="24"/>
        </w:rPr>
        <w:t>mayor por parte de terceros, sin consentimiento o con consentimiento viciado, fraude o estafa, engaño o robo de su dinero o patrimonio.”</w:t>
      </w:r>
      <w:r w:rsidRPr="00665BDF">
        <w:rPr>
          <w:rFonts w:ascii="Times New Roman" w:hAnsi="Times New Roman" w:cs="Times New Roman"/>
          <w:sz w:val="24"/>
          <w:szCs w:val="24"/>
          <w:vertAlign w:val="superscript"/>
        </w:rPr>
        <w:footnoteReference w:id="3"/>
      </w:r>
      <w:r w:rsidRPr="00665BDF">
        <w:rPr>
          <w:rFonts w:ascii="Times New Roman" w:hAnsi="Times New Roman" w:cs="Times New Roman"/>
          <w:sz w:val="24"/>
          <w:szCs w:val="24"/>
        </w:rPr>
        <w:t xml:space="preserve"> </w:t>
      </w:r>
    </w:p>
    <w:p w:rsidR="00E74BA0" w:rsidRPr="00117F0E" w:rsidRDefault="00665BDF"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highlight w:val="white"/>
        </w:rPr>
      </w:pPr>
      <w:r w:rsidRPr="00665BDF">
        <w:rPr>
          <w:rFonts w:ascii="Times New Roman" w:hAnsi="Times New Roman" w:cs="Times New Roman"/>
          <w:sz w:val="24"/>
          <w:szCs w:val="24"/>
        </w:rPr>
        <w:t xml:space="preserve">Para la profesora Fabiola Lathrop, el maltrato patrimonial </w:t>
      </w:r>
      <w:r w:rsidRPr="00665BDF">
        <w:rPr>
          <w:rFonts w:ascii="Times New Roman" w:hAnsi="Times New Roman" w:cs="Times New Roman"/>
          <w:sz w:val="24"/>
          <w:szCs w:val="24"/>
          <w:highlight w:val="white"/>
        </w:rPr>
        <w:t xml:space="preserve">“se verifica, generalmente, mediante </w:t>
      </w:r>
      <w:r w:rsidR="00C9686B">
        <w:rPr>
          <w:rFonts w:ascii="Times New Roman" w:hAnsi="Times New Roman" w:cs="Times New Roman"/>
          <w:sz w:val="24"/>
          <w:szCs w:val="24"/>
          <w:highlight w:val="white"/>
          <w:lang w:val="es-CL"/>
        </w:rPr>
        <w:t xml:space="preserve">    </w:t>
      </w:r>
      <w:r w:rsidRPr="00665BDF">
        <w:rPr>
          <w:rFonts w:ascii="Times New Roman" w:hAnsi="Times New Roman" w:cs="Times New Roman"/>
          <w:sz w:val="24"/>
          <w:szCs w:val="24"/>
          <w:highlight w:val="white"/>
        </w:rPr>
        <w:t xml:space="preserve">el uso no autorizado de los recursos económicos de la persona mayor, el manejo ilegal o inapropiado de los mismos o la obligación impuesta al adulto mayor de modificar su </w:t>
      </w:r>
      <w:r w:rsidR="00C9686B">
        <w:rPr>
          <w:rFonts w:ascii="Times New Roman" w:hAnsi="Times New Roman" w:cs="Times New Roman"/>
          <w:sz w:val="24"/>
          <w:szCs w:val="24"/>
          <w:highlight w:val="white"/>
          <w:lang w:val="es-CL"/>
        </w:rPr>
        <w:t xml:space="preserve">     </w:t>
      </w:r>
      <w:r w:rsidRPr="00665BDF">
        <w:rPr>
          <w:rFonts w:ascii="Times New Roman" w:hAnsi="Times New Roman" w:cs="Times New Roman"/>
          <w:sz w:val="24"/>
          <w:szCs w:val="24"/>
          <w:highlight w:val="white"/>
        </w:rPr>
        <w:t>testamento. Generalmente, estos últimos delitos quedan amparados por excusas legales absolutorias, o bien, se esconden tras falsas interdicciones por demencia o falsas atribuciones de enfermedades mentales con el objeto de obtener una orden judicial de internación en un establecimiento psiquiátrico.”</w:t>
      </w:r>
      <w:r w:rsidRPr="00665BDF">
        <w:rPr>
          <w:rFonts w:ascii="Times New Roman" w:hAnsi="Times New Roman" w:cs="Times New Roman"/>
          <w:sz w:val="24"/>
          <w:szCs w:val="24"/>
          <w:highlight w:val="white"/>
          <w:vertAlign w:val="superscript"/>
        </w:rPr>
        <w:footnoteReference w:id="4"/>
      </w:r>
    </w:p>
    <w:p w:rsidR="00E74BA0" w:rsidRDefault="00E74BA0"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C9686B" w:rsidRDefault="00C9686B"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C9686B" w:rsidRDefault="00C9686B"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C9686B" w:rsidRDefault="00C9686B"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C9686B" w:rsidRDefault="00C9686B"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C9686B" w:rsidRDefault="00C9686B"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C9686B" w:rsidRDefault="00C9686B"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C9686B" w:rsidRDefault="00C9686B"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C9686B" w:rsidRPr="00C9686B" w:rsidRDefault="00C9686B" w:rsidP="00C9686B">
      <w:pPr>
        <w:pStyle w:val="normal0"/>
        <w:pBdr>
          <w:top w:val="nil"/>
          <w:left w:val="nil"/>
          <w:bottom w:val="nil"/>
          <w:right w:val="nil"/>
          <w:between w:val="nil"/>
        </w:pBdr>
        <w:spacing w:after="160" w:line="360" w:lineRule="auto"/>
        <w:ind w:right="-185"/>
        <w:jc w:val="both"/>
        <w:rPr>
          <w:rFonts w:ascii="Times New Roman" w:hAnsi="Times New Roman" w:cs="Times New Roman"/>
          <w:sz w:val="24"/>
          <w:szCs w:val="24"/>
          <w:lang w:val="es-CL"/>
        </w:rPr>
      </w:pPr>
    </w:p>
    <w:p w:rsidR="00E74BA0" w:rsidRDefault="00665BDF" w:rsidP="00491C86">
      <w:pPr>
        <w:pStyle w:val="normal0"/>
        <w:numPr>
          <w:ilvl w:val="0"/>
          <w:numId w:val="5"/>
        </w:numPr>
        <w:pBdr>
          <w:top w:val="nil"/>
          <w:left w:val="nil"/>
          <w:bottom w:val="nil"/>
          <w:right w:val="nil"/>
          <w:between w:val="nil"/>
        </w:pBdr>
        <w:spacing w:line="360" w:lineRule="auto"/>
        <w:ind w:right="148"/>
        <w:jc w:val="both"/>
        <w:rPr>
          <w:rFonts w:ascii="Times New Roman" w:hAnsi="Times New Roman" w:cs="Times New Roman"/>
          <w:b/>
          <w:sz w:val="24"/>
          <w:szCs w:val="24"/>
        </w:rPr>
      </w:pPr>
      <w:r w:rsidRPr="00665BDF">
        <w:rPr>
          <w:rFonts w:ascii="Times New Roman" w:hAnsi="Times New Roman" w:cs="Times New Roman"/>
          <w:b/>
          <w:sz w:val="24"/>
          <w:szCs w:val="24"/>
        </w:rPr>
        <w:t>CONTENIDO DEL PROYECTO DE LEY</w:t>
      </w:r>
    </w:p>
    <w:p w:rsidR="00665BDF" w:rsidRPr="00665BDF" w:rsidRDefault="00665BDF" w:rsidP="00491C86">
      <w:pPr>
        <w:pStyle w:val="normal0"/>
        <w:pBdr>
          <w:top w:val="nil"/>
          <w:left w:val="nil"/>
          <w:bottom w:val="nil"/>
          <w:right w:val="nil"/>
          <w:between w:val="nil"/>
        </w:pBdr>
        <w:spacing w:line="360" w:lineRule="auto"/>
        <w:ind w:left="720" w:right="148"/>
        <w:jc w:val="both"/>
        <w:rPr>
          <w:rFonts w:ascii="Times New Roman" w:hAnsi="Times New Roman" w:cs="Times New Roman"/>
          <w:b/>
          <w:sz w:val="24"/>
          <w:szCs w:val="24"/>
        </w:rPr>
      </w:pPr>
    </w:p>
    <w:p w:rsidR="00E74BA0" w:rsidRPr="00665BDF" w:rsidRDefault="00665BDF" w:rsidP="00491C86">
      <w:pPr>
        <w:pStyle w:val="normal0"/>
        <w:pBdr>
          <w:top w:val="nil"/>
          <w:left w:val="nil"/>
          <w:bottom w:val="nil"/>
          <w:right w:val="nil"/>
          <w:between w:val="nil"/>
        </w:pBdr>
        <w:spacing w:line="360" w:lineRule="auto"/>
        <w:ind w:right="148"/>
        <w:jc w:val="both"/>
        <w:rPr>
          <w:rFonts w:ascii="Times New Roman" w:hAnsi="Times New Roman" w:cs="Times New Roman"/>
          <w:sz w:val="24"/>
          <w:szCs w:val="24"/>
        </w:rPr>
      </w:pPr>
      <w:r w:rsidRPr="00665BDF">
        <w:rPr>
          <w:rFonts w:ascii="Times New Roman" w:hAnsi="Times New Roman" w:cs="Times New Roman"/>
          <w:sz w:val="24"/>
          <w:szCs w:val="24"/>
        </w:rPr>
        <w:lastRenderedPageBreak/>
        <w:t xml:space="preserve">Si bien los adultos mayores son, de acuerdo al Código Civil (por aplicación de los artículos 1445 y 1446), plenamente capaces de disponer de la forma que quieran de su patrimonio, mientras no se haya declarado su interdicción por alguna de las causales que contempla el mismo cuerpo legal, lo cierto es que su avanzada edad aumenta las probabilidades de encontrarse en dichas causales y, ante la ausencia de una resolución judicial que la declare, es muy probable que alguna persona pueda aprovecharse de esa circunstancia para cometer algún acto de aprovechamiento del patrimonio del adulto mayor. </w:t>
      </w:r>
    </w:p>
    <w:p w:rsidR="00117F0E" w:rsidRDefault="00117F0E" w:rsidP="00491C86">
      <w:pPr>
        <w:pStyle w:val="normal0"/>
        <w:pBdr>
          <w:top w:val="nil"/>
          <w:left w:val="nil"/>
          <w:bottom w:val="nil"/>
          <w:right w:val="nil"/>
          <w:between w:val="nil"/>
        </w:pBdr>
        <w:spacing w:line="360" w:lineRule="auto"/>
        <w:ind w:right="148"/>
        <w:jc w:val="both"/>
        <w:rPr>
          <w:rFonts w:ascii="Times New Roman" w:hAnsi="Times New Roman" w:cs="Times New Roman"/>
          <w:sz w:val="24"/>
          <w:szCs w:val="24"/>
        </w:rPr>
      </w:pPr>
    </w:p>
    <w:p w:rsidR="00E74BA0" w:rsidRDefault="001054CE" w:rsidP="00491C86">
      <w:pPr>
        <w:pStyle w:val="normal0"/>
        <w:pBdr>
          <w:top w:val="nil"/>
          <w:left w:val="nil"/>
          <w:bottom w:val="nil"/>
          <w:right w:val="nil"/>
          <w:between w:val="nil"/>
        </w:pBdr>
        <w:spacing w:line="360" w:lineRule="auto"/>
        <w:ind w:right="148"/>
        <w:jc w:val="both"/>
        <w:rPr>
          <w:rFonts w:ascii="Times New Roman" w:hAnsi="Times New Roman" w:cs="Times New Roman"/>
          <w:sz w:val="24"/>
          <w:szCs w:val="24"/>
        </w:rPr>
      </w:pPr>
      <w:r>
        <w:rPr>
          <w:rFonts w:ascii="Times New Roman" w:hAnsi="Times New Roman" w:cs="Times New Roman"/>
          <w:sz w:val="24"/>
          <w:szCs w:val="24"/>
        </w:rPr>
        <w:t xml:space="preserve">En este mismo contexto, se </w:t>
      </w:r>
      <w:r w:rsidR="00665BDF" w:rsidRPr="00665BDF">
        <w:rPr>
          <w:rFonts w:ascii="Times New Roman" w:hAnsi="Times New Roman" w:cs="Times New Roman"/>
          <w:sz w:val="24"/>
          <w:szCs w:val="24"/>
        </w:rPr>
        <w:t xml:space="preserve">han presentado algunos proyectos de ley que han buscado sancionar la suscripción fraudulenta de mandatos u otros tipos de autorizaciones que los adultos mayores otorgan a otras personas a fin de administrar sus bienes. Si bien esta </w:t>
      </w:r>
      <w:r w:rsidR="00CF634A">
        <w:rPr>
          <w:rFonts w:ascii="Times New Roman" w:hAnsi="Times New Roman" w:cs="Times New Roman"/>
          <w:sz w:val="24"/>
          <w:szCs w:val="24"/>
        </w:rPr>
        <w:t xml:space="preserve">es una medida que intenta poder </w:t>
      </w:r>
      <w:r w:rsidR="00665BDF" w:rsidRPr="00665BDF">
        <w:rPr>
          <w:rFonts w:ascii="Times New Roman" w:hAnsi="Times New Roman" w:cs="Times New Roman"/>
          <w:sz w:val="24"/>
          <w:szCs w:val="24"/>
        </w:rPr>
        <w:t xml:space="preserve">aumentar las sanciones para estas conductas, </w:t>
      </w:r>
      <w:r w:rsidR="00665BDF">
        <w:rPr>
          <w:rFonts w:ascii="Times New Roman" w:hAnsi="Times New Roman" w:cs="Times New Roman"/>
          <w:sz w:val="24"/>
          <w:szCs w:val="24"/>
        </w:rPr>
        <w:t xml:space="preserve">acorde a un tratamiento adecuado </w:t>
      </w:r>
      <w:r w:rsidR="00236D69">
        <w:rPr>
          <w:rFonts w:ascii="Times New Roman" w:hAnsi="Times New Roman" w:cs="Times New Roman"/>
          <w:sz w:val="24"/>
          <w:szCs w:val="24"/>
        </w:rPr>
        <w:t xml:space="preserve">del abuso patrimonial o financiero contra el adulto mayor, </w:t>
      </w:r>
      <w:r w:rsidR="00665BDF" w:rsidRPr="00665BDF">
        <w:rPr>
          <w:rFonts w:ascii="Times New Roman" w:hAnsi="Times New Roman" w:cs="Times New Roman"/>
          <w:sz w:val="24"/>
          <w:szCs w:val="24"/>
        </w:rPr>
        <w:t>consideramos que existe un momento previo a la comisión que permite prevenir estos delitos, evitar los daños patrimoniales y emocionales que estos producen, como también a su vez facilitar la persecución penal de los responsables a fin de evitar la impuni</w:t>
      </w:r>
      <w:r>
        <w:rPr>
          <w:rFonts w:ascii="Times New Roman" w:hAnsi="Times New Roman" w:cs="Times New Roman"/>
          <w:sz w:val="24"/>
          <w:szCs w:val="24"/>
        </w:rPr>
        <w:t>dad. Es por ello que el deber de</w:t>
      </w:r>
      <w:r w:rsidR="00665BDF" w:rsidRPr="00665BDF">
        <w:rPr>
          <w:rFonts w:ascii="Times New Roman" w:hAnsi="Times New Roman" w:cs="Times New Roman"/>
          <w:sz w:val="24"/>
          <w:szCs w:val="24"/>
        </w:rPr>
        <w:t xml:space="preserve"> informar o de </w:t>
      </w:r>
      <w:r w:rsidR="00CF634A">
        <w:rPr>
          <w:rFonts w:ascii="Times New Roman" w:hAnsi="Times New Roman" w:cs="Times New Roman"/>
          <w:sz w:val="24"/>
          <w:szCs w:val="24"/>
        </w:rPr>
        <w:t>denunci</w:t>
      </w:r>
      <w:r>
        <w:rPr>
          <w:rFonts w:ascii="Times New Roman" w:hAnsi="Times New Roman" w:cs="Times New Roman"/>
          <w:sz w:val="24"/>
          <w:szCs w:val="24"/>
        </w:rPr>
        <w:t>ar</w:t>
      </w:r>
      <w:r w:rsidR="00665BDF" w:rsidRPr="00665BDF">
        <w:rPr>
          <w:rFonts w:ascii="Times New Roman" w:hAnsi="Times New Roman" w:cs="Times New Roman"/>
          <w:sz w:val="24"/>
          <w:szCs w:val="24"/>
        </w:rPr>
        <w:t xml:space="preserve"> a las autoridades competentes de una posible operación en la cual se puedan advertir indicios de delito o de anormalidad en el comportamiento del usuario adulto mayor es un mecanismo idóneo y probado internacionalmente que permite resguardar la integridad del patrimonio del adulto mayor.</w:t>
      </w:r>
    </w:p>
    <w:p w:rsidR="001054CE" w:rsidRPr="00665BDF" w:rsidRDefault="001054CE" w:rsidP="00491C86">
      <w:pPr>
        <w:pStyle w:val="normal0"/>
        <w:pBdr>
          <w:top w:val="nil"/>
          <w:left w:val="nil"/>
          <w:bottom w:val="nil"/>
          <w:right w:val="nil"/>
          <w:between w:val="nil"/>
        </w:pBdr>
        <w:spacing w:line="360" w:lineRule="auto"/>
        <w:ind w:right="148"/>
        <w:jc w:val="both"/>
        <w:rPr>
          <w:rFonts w:ascii="Times New Roman" w:hAnsi="Times New Roman" w:cs="Times New Roman"/>
          <w:sz w:val="24"/>
          <w:szCs w:val="24"/>
        </w:rPr>
      </w:pPr>
    </w:p>
    <w:p w:rsidR="00E74BA0" w:rsidRDefault="00665BDF" w:rsidP="00491C86">
      <w:pPr>
        <w:pStyle w:val="normal0"/>
        <w:pBdr>
          <w:top w:val="nil"/>
          <w:left w:val="nil"/>
          <w:bottom w:val="nil"/>
          <w:right w:val="nil"/>
          <w:between w:val="nil"/>
        </w:pBdr>
        <w:spacing w:line="360" w:lineRule="auto"/>
        <w:ind w:right="148"/>
        <w:jc w:val="both"/>
        <w:rPr>
          <w:rFonts w:ascii="Times New Roman" w:hAnsi="Times New Roman" w:cs="Times New Roman"/>
          <w:sz w:val="24"/>
          <w:szCs w:val="24"/>
        </w:rPr>
      </w:pPr>
      <w:r w:rsidRPr="00665BDF">
        <w:rPr>
          <w:rFonts w:ascii="Times New Roman" w:hAnsi="Times New Roman" w:cs="Times New Roman"/>
          <w:sz w:val="24"/>
          <w:szCs w:val="24"/>
        </w:rPr>
        <w:t xml:space="preserve">De acuerdo al artículo 175 del Código Procesal Penal, no existe para las instituciones financieras una obligación de denunciar sobre hechos que puedan revestir la calidad de delito que ocurran en sus dependencias o con ocasión del funcionamiento normal de la institución de acuerdo al giro bancario. En este sentido, el mismo artículo establece supuestos en los cuales jefes o encargados de establecimientos o instituciones en general deben denunciar hechos que puedan tener la calidad de delito dentro de dichas dependencias o con ocasión de sus funciones, sea o no estos jefes o encargados funcionarios públicos. Vale decir, esta obligación de denunciar se extiende sin problemas a personas naturales que no detentan un cargo público, pero que la institución a cargo tiene una relevancia pública. </w:t>
      </w:r>
    </w:p>
    <w:p w:rsidR="001054CE" w:rsidRDefault="001054CE" w:rsidP="00491C86">
      <w:pPr>
        <w:pStyle w:val="normal0"/>
        <w:pBdr>
          <w:top w:val="nil"/>
          <w:left w:val="nil"/>
          <w:bottom w:val="nil"/>
          <w:right w:val="nil"/>
          <w:between w:val="nil"/>
        </w:pBdr>
        <w:spacing w:line="360" w:lineRule="auto"/>
        <w:ind w:right="148"/>
        <w:jc w:val="both"/>
        <w:rPr>
          <w:rFonts w:ascii="Times New Roman" w:hAnsi="Times New Roman" w:cs="Times New Roman"/>
          <w:sz w:val="24"/>
          <w:szCs w:val="24"/>
        </w:rPr>
      </w:pPr>
    </w:p>
    <w:p w:rsidR="00491C86" w:rsidRDefault="00491C86">
      <w:pPr>
        <w:rPr>
          <w:rFonts w:ascii="Times New Roman" w:hAnsi="Times New Roman" w:cs="Times New Roman"/>
          <w:sz w:val="24"/>
          <w:szCs w:val="24"/>
        </w:rPr>
      </w:pPr>
      <w:r>
        <w:rPr>
          <w:rFonts w:ascii="Times New Roman" w:hAnsi="Times New Roman" w:cs="Times New Roman"/>
          <w:sz w:val="24"/>
          <w:szCs w:val="24"/>
        </w:rPr>
        <w:br w:type="page"/>
      </w:r>
    </w:p>
    <w:p w:rsidR="00491C86" w:rsidRDefault="00491C86" w:rsidP="00491C86">
      <w:pPr>
        <w:pStyle w:val="normal0"/>
        <w:pBdr>
          <w:top w:val="nil"/>
          <w:left w:val="nil"/>
          <w:bottom w:val="nil"/>
          <w:right w:val="nil"/>
          <w:between w:val="nil"/>
        </w:pBdr>
        <w:spacing w:line="360" w:lineRule="auto"/>
        <w:ind w:right="148"/>
        <w:jc w:val="both"/>
        <w:rPr>
          <w:rFonts w:ascii="Times New Roman" w:hAnsi="Times New Roman" w:cs="Times New Roman"/>
          <w:sz w:val="24"/>
          <w:szCs w:val="24"/>
          <w:lang w:val="es-CL"/>
        </w:rPr>
      </w:pPr>
    </w:p>
    <w:p w:rsidR="003412D2" w:rsidRPr="004E5270" w:rsidRDefault="001054CE" w:rsidP="00491C86">
      <w:pPr>
        <w:pStyle w:val="normal0"/>
        <w:pBdr>
          <w:top w:val="nil"/>
          <w:left w:val="nil"/>
          <w:bottom w:val="nil"/>
          <w:right w:val="nil"/>
          <w:between w:val="nil"/>
        </w:pBdr>
        <w:spacing w:line="360" w:lineRule="auto"/>
        <w:ind w:right="148"/>
        <w:jc w:val="both"/>
        <w:rPr>
          <w:rFonts w:ascii="Times New Roman" w:hAnsi="Times New Roman" w:cs="Times New Roman"/>
          <w:sz w:val="24"/>
          <w:szCs w:val="24"/>
          <w:lang w:val="es-CL"/>
        </w:rPr>
      </w:pPr>
      <w:r>
        <w:rPr>
          <w:rFonts w:ascii="Times New Roman" w:hAnsi="Times New Roman" w:cs="Times New Roman"/>
          <w:sz w:val="24"/>
          <w:szCs w:val="24"/>
        </w:rPr>
        <w:t xml:space="preserve">Es por ello que este proyecto de ley busca introducir una letra f) al artículo 175 del Código Procesal Penal, a fin de que exista el deber de denunciar, vale decir, el deber de </w:t>
      </w:r>
      <w:r>
        <w:rPr>
          <w:rFonts w:ascii="Times New Roman" w:hAnsi="Times New Roman" w:cs="Times New Roman"/>
          <w:sz w:val="24"/>
          <w:szCs w:val="24"/>
          <w:lang w:val="es-CL"/>
        </w:rPr>
        <w:t>comunicar directamente al Ministerio P</w:t>
      </w:r>
      <w:r w:rsidRPr="001054CE">
        <w:rPr>
          <w:rFonts w:ascii="Times New Roman" w:hAnsi="Times New Roman" w:cs="Times New Roman"/>
          <w:sz w:val="24"/>
          <w:szCs w:val="24"/>
          <w:lang w:val="es-CL"/>
        </w:rPr>
        <w:t>úblico el conocimiento que tuviere de la comisión de un hecho que revistiere cara</w:t>
      </w:r>
      <w:r>
        <w:rPr>
          <w:rFonts w:ascii="Times New Roman" w:hAnsi="Times New Roman" w:cs="Times New Roman"/>
          <w:sz w:val="24"/>
          <w:szCs w:val="24"/>
          <w:lang w:val="es-CL"/>
        </w:rPr>
        <w:t xml:space="preserve">cteres de delito, para </w:t>
      </w:r>
      <w:r>
        <w:rPr>
          <w:rFonts w:ascii="Times New Roman" w:hAnsi="Times New Roman" w:cs="Times New Roman"/>
          <w:sz w:val="24"/>
          <w:szCs w:val="24"/>
        </w:rPr>
        <w:t>l</w:t>
      </w:r>
      <w:r w:rsidRPr="001054CE">
        <w:rPr>
          <w:rFonts w:ascii="Times New Roman" w:hAnsi="Times New Roman" w:cs="Times New Roman"/>
          <w:sz w:val="24"/>
          <w:szCs w:val="24"/>
        </w:rPr>
        <w:t>as instituciones bancarias, financieras, administradoras de fondos de pensión, cooperativas de ahorro y crédito, cajas de compensación, compañías de seguros y otras de similar naturaleza, directamente o por medio de sus gerentes, ejecutivos o empleados, de los delitos que ocurran en sus dependencias o que afecten a sus clientes con ocasión de operaciones propias de su giro</w:t>
      </w:r>
      <w:r>
        <w:rPr>
          <w:rFonts w:ascii="Times New Roman" w:hAnsi="Times New Roman" w:cs="Times New Roman"/>
          <w:sz w:val="24"/>
          <w:szCs w:val="24"/>
        </w:rPr>
        <w:t>.</w:t>
      </w:r>
    </w:p>
    <w:p w:rsidR="003412D2" w:rsidRDefault="003412D2" w:rsidP="00491C86">
      <w:pPr>
        <w:spacing w:line="360" w:lineRule="auto"/>
        <w:ind w:right="148"/>
        <w:jc w:val="both"/>
        <w:rPr>
          <w:b/>
          <w:bCs/>
        </w:rPr>
      </w:pPr>
    </w:p>
    <w:p w:rsidR="004E5270" w:rsidRPr="004E5270" w:rsidRDefault="00CF634A" w:rsidP="00491C86">
      <w:pPr>
        <w:spacing w:line="360" w:lineRule="auto"/>
        <w:ind w:right="6"/>
        <w:jc w:val="both"/>
        <w:rPr>
          <w:rFonts w:ascii="Times New Roman" w:hAnsi="Times New Roman" w:cs="Times New Roman"/>
          <w:bCs/>
          <w:sz w:val="24"/>
          <w:szCs w:val="24"/>
          <w:lang w:val="es-CL"/>
        </w:rPr>
      </w:pPr>
      <w:r w:rsidRPr="003412D2">
        <w:rPr>
          <w:rFonts w:ascii="Times New Roman" w:hAnsi="Times New Roman" w:cs="Times New Roman"/>
          <w:bCs/>
          <w:sz w:val="24"/>
          <w:szCs w:val="24"/>
        </w:rPr>
        <w:t xml:space="preserve">A su vez, se modifica el Código Penal en lo relativo a las excepciones de responsabilidad </w:t>
      </w:r>
      <w:r w:rsidR="003412D2" w:rsidRPr="003412D2">
        <w:rPr>
          <w:rFonts w:ascii="Times New Roman" w:hAnsi="Times New Roman" w:cs="Times New Roman"/>
          <w:bCs/>
          <w:sz w:val="24"/>
          <w:szCs w:val="24"/>
        </w:rPr>
        <w:t xml:space="preserve">penal, a fin de excluir la aplicación de dicha excepción en aquellos supuestos en los cuales la víctima tenga </w:t>
      </w:r>
      <w:r w:rsidR="003412D2" w:rsidRPr="00491C86">
        <w:rPr>
          <w:rFonts w:ascii="Times New Roman" w:hAnsi="Times New Roman" w:cs="Times New Roman"/>
          <w:bCs/>
          <w:w w:val="98"/>
          <w:sz w:val="24"/>
          <w:szCs w:val="24"/>
        </w:rPr>
        <w:t>algún grado de discapacidad física o mental, o de dependencia en relación con el</w:t>
      </w:r>
      <w:r w:rsidR="003412D2" w:rsidRPr="003412D2">
        <w:rPr>
          <w:rFonts w:ascii="Times New Roman" w:hAnsi="Times New Roman" w:cs="Times New Roman"/>
          <w:bCs/>
          <w:sz w:val="24"/>
          <w:szCs w:val="24"/>
        </w:rPr>
        <w:t xml:space="preserve"> imputado. </w:t>
      </w:r>
      <w:r w:rsidR="003412D2">
        <w:rPr>
          <w:rFonts w:ascii="Times New Roman" w:hAnsi="Times New Roman" w:cs="Times New Roman"/>
          <w:bCs/>
          <w:sz w:val="24"/>
          <w:szCs w:val="24"/>
        </w:rPr>
        <w:t xml:space="preserve">Esto en el entendido que en muchas ocasiones, familiares o cercanos a una persona mayor, sea que tenga más de 75 años o no (en relación a la </w:t>
      </w:r>
      <w:r w:rsidR="00423A60">
        <w:rPr>
          <w:rFonts w:ascii="Times New Roman" w:hAnsi="Times New Roman" w:cs="Times New Roman"/>
          <w:bCs/>
          <w:sz w:val="24"/>
          <w:szCs w:val="24"/>
        </w:rPr>
        <w:t>excepción ya contemplada en el úl</w:t>
      </w:r>
      <w:r w:rsidR="004E5270">
        <w:rPr>
          <w:rFonts w:ascii="Times New Roman" w:hAnsi="Times New Roman" w:cs="Times New Roman"/>
          <w:bCs/>
          <w:sz w:val="24"/>
          <w:szCs w:val="24"/>
        </w:rPr>
        <w:t xml:space="preserve">timo inciso del mismo artículo), son aquellos quienes cometen conductas abusivas con aquellos adultos mayores que se encuentran a su cargo, a fin de despojarlos de parte de su patrimonio. Esta modificación al artículo 489 del Código Penal busca limitar la aplicación de la excepción de responsabilidad penal respecto de delitos de </w:t>
      </w:r>
      <w:r w:rsidR="004E5270" w:rsidRPr="004E5270">
        <w:rPr>
          <w:rFonts w:ascii="Times New Roman" w:hAnsi="Times New Roman" w:cs="Times New Roman"/>
          <w:bCs/>
          <w:sz w:val="24"/>
          <w:szCs w:val="24"/>
          <w:lang w:val="es-CL"/>
        </w:rPr>
        <w:t>hurtos, defraudaciones o daños</w:t>
      </w:r>
      <w:r w:rsidR="004E5270">
        <w:rPr>
          <w:rFonts w:ascii="Times New Roman" w:hAnsi="Times New Roman" w:cs="Times New Roman"/>
          <w:bCs/>
          <w:sz w:val="24"/>
          <w:szCs w:val="24"/>
          <w:lang w:val="es-CL"/>
        </w:rPr>
        <w:t>.</w:t>
      </w:r>
    </w:p>
    <w:p w:rsidR="00423A60" w:rsidRDefault="00423A60" w:rsidP="00491C86">
      <w:pPr>
        <w:spacing w:line="360" w:lineRule="auto"/>
        <w:ind w:right="148"/>
        <w:jc w:val="both"/>
        <w:rPr>
          <w:rFonts w:ascii="Times New Roman" w:hAnsi="Times New Roman" w:cs="Times New Roman"/>
          <w:bCs/>
          <w:sz w:val="24"/>
          <w:szCs w:val="24"/>
        </w:rPr>
      </w:pPr>
    </w:p>
    <w:p w:rsidR="00922F68" w:rsidRDefault="00423A60" w:rsidP="00491C86">
      <w:pPr>
        <w:spacing w:line="360" w:lineRule="auto"/>
        <w:ind w:right="6"/>
        <w:jc w:val="both"/>
        <w:rPr>
          <w:rFonts w:ascii="Times New Roman" w:eastAsia="Calibri" w:hAnsi="Times New Roman" w:cs="Times New Roman"/>
          <w:bCs/>
          <w:sz w:val="24"/>
          <w:szCs w:val="24"/>
          <w:lang w:val="es-ES"/>
        </w:rPr>
      </w:pPr>
      <w:r w:rsidRPr="00922F68">
        <w:rPr>
          <w:rFonts w:ascii="Times New Roman" w:hAnsi="Times New Roman" w:cs="Times New Roman"/>
          <w:bCs/>
          <w:sz w:val="24"/>
          <w:szCs w:val="24"/>
        </w:rPr>
        <w:t>Por último, este proyecto de ley busca incluir en la Ley Nº</w:t>
      </w:r>
      <w:r w:rsidR="000F5E4D">
        <w:rPr>
          <w:rFonts w:ascii="Times New Roman" w:hAnsi="Times New Roman" w:cs="Times New Roman"/>
          <w:bCs/>
          <w:sz w:val="24"/>
          <w:szCs w:val="24"/>
        </w:rPr>
        <w:t xml:space="preserve"> </w:t>
      </w:r>
      <w:r w:rsidRPr="00922F68">
        <w:rPr>
          <w:rFonts w:ascii="Times New Roman" w:hAnsi="Times New Roman" w:cs="Times New Roman"/>
          <w:bCs/>
          <w:sz w:val="24"/>
          <w:szCs w:val="24"/>
        </w:rPr>
        <w:t>20.066 sobre Violencia intrafamiliar una definición de abuso patrimonial o e</w:t>
      </w:r>
      <w:r w:rsidR="00922F68" w:rsidRPr="00922F68">
        <w:rPr>
          <w:rFonts w:ascii="Times New Roman" w:hAnsi="Times New Roman" w:cs="Times New Roman"/>
          <w:bCs/>
          <w:sz w:val="24"/>
          <w:szCs w:val="24"/>
        </w:rPr>
        <w:t xml:space="preserve">conómico hacia adultos mayores, </w:t>
      </w:r>
      <w:r w:rsidR="00922F68" w:rsidRPr="00922F68">
        <w:rPr>
          <w:rFonts w:ascii="Times New Roman" w:eastAsia="Calibri" w:hAnsi="Times New Roman" w:cs="Times New Roman"/>
          <w:bCs/>
          <w:sz w:val="24"/>
          <w:szCs w:val="24"/>
          <w:lang w:val="es-ES"/>
        </w:rPr>
        <w:t>con el objeto de asegurar y explicitar una sanción efectiva a aquellos actos de violencia intrafamiliar que tengan la naturaleza de abuso patrimonial en contra de los adult</w:t>
      </w:r>
      <w:r w:rsidR="000F5E4D">
        <w:rPr>
          <w:rFonts w:ascii="Times New Roman" w:eastAsia="Calibri" w:hAnsi="Times New Roman" w:cs="Times New Roman"/>
          <w:bCs/>
          <w:sz w:val="24"/>
          <w:szCs w:val="24"/>
          <w:lang w:val="es-ES"/>
        </w:rPr>
        <w:t>os mayores. En este sentido, se incluye dentro del articulado</w:t>
      </w:r>
      <w:r w:rsidR="00922F68" w:rsidRPr="00922F68">
        <w:rPr>
          <w:rFonts w:ascii="Times New Roman" w:eastAsia="Calibri" w:hAnsi="Times New Roman" w:cs="Times New Roman"/>
          <w:bCs/>
          <w:sz w:val="24"/>
          <w:szCs w:val="24"/>
          <w:lang w:val="es-ES"/>
        </w:rPr>
        <w:t xml:space="preserve"> de la mencionada ley un nuevo artículo 6 bis que menciona expresamente como acto constitutivo de violencia intrafamiliar el abuso patrimonial o económico hacia adultos mayores de parte de quien o quienes lo tienen a su cuidado o de parte de quien el adulto mayor depende, describiendo por cierto la </w:t>
      </w:r>
      <w:r w:rsidR="00922F68">
        <w:rPr>
          <w:rFonts w:ascii="Times New Roman" w:eastAsia="Calibri" w:hAnsi="Times New Roman" w:cs="Times New Roman"/>
          <w:bCs/>
          <w:sz w:val="24"/>
          <w:szCs w:val="24"/>
          <w:lang w:val="es-ES"/>
        </w:rPr>
        <w:t>conductas que lo constituyen.</w:t>
      </w:r>
      <w:r w:rsidR="000F5E4D">
        <w:rPr>
          <w:rFonts w:ascii="Times New Roman" w:eastAsia="Calibri" w:hAnsi="Times New Roman" w:cs="Times New Roman"/>
          <w:bCs/>
          <w:sz w:val="24"/>
          <w:szCs w:val="24"/>
          <w:lang w:val="es-ES"/>
        </w:rPr>
        <w:t xml:space="preserve"> Esto en cuanto a que permitiría sancionar, por aplicación de dicha ley, los actos de abuso patrimonial con las sanciones y medidas de protección contempladas en tal cuerpo legal. </w:t>
      </w:r>
    </w:p>
    <w:p w:rsidR="000F5E4D" w:rsidRDefault="000F5E4D" w:rsidP="00491C86">
      <w:pPr>
        <w:spacing w:line="360" w:lineRule="auto"/>
        <w:ind w:right="148"/>
        <w:jc w:val="both"/>
        <w:rPr>
          <w:rFonts w:ascii="Times New Roman" w:eastAsia="Calibri" w:hAnsi="Times New Roman" w:cs="Times New Roman"/>
          <w:bCs/>
          <w:sz w:val="24"/>
          <w:szCs w:val="24"/>
          <w:lang w:val="es-ES"/>
        </w:rPr>
      </w:pPr>
    </w:p>
    <w:p w:rsidR="00491C86" w:rsidRDefault="00491C86">
      <w:pPr>
        <w:rPr>
          <w:rFonts w:ascii="Times New Roman" w:hAnsi="Times New Roman" w:cs="Times New Roman"/>
          <w:b/>
          <w:sz w:val="24"/>
          <w:szCs w:val="24"/>
        </w:rPr>
      </w:pPr>
      <w:r>
        <w:rPr>
          <w:rFonts w:ascii="Times New Roman" w:hAnsi="Times New Roman" w:cs="Times New Roman"/>
          <w:b/>
          <w:sz w:val="24"/>
          <w:szCs w:val="24"/>
        </w:rPr>
        <w:br w:type="page"/>
      </w:r>
    </w:p>
    <w:p w:rsidR="00491C86" w:rsidRDefault="00491C86" w:rsidP="00491C86">
      <w:pPr>
        <w:spacing w:line="360" w:lineRule="auto"/>
        <w:ind w:right="148"/>
        <w:jc w:val="both"/>
        <w:rPr>
          <w:rFonts w:ascii="Times New Roman" w:hAnsi="Times New Roman" w:cs="Times New Roman"/>
          <w:b/>
          <w:sz w:val="24"/>
          <w:szCs w:val="24"/>
          <w:lang w:val="es-CL"/>
        </w:rPr>
      </w:pPr>
    </w:p>
    <w:p w:rsidR="00E74BA0" w:rsidRPr="00922F68" w:rsidRDefault="00117F0E" w:rsidP="00491C86">
      <w:pPr>
        <w:spacing w:line="360" w:lineRule="auto"/>
        <w:ind w:right="6"/>
        <w:jc w:val="both"/>
        <w:rPr>
          <w:rFonts w:ascii="Times New Roman" w:eastAsia="Calibri" w:hAnsi="Times New Roman" w:cs="Times New Roman"/>
          <w:bCs/>
          <w:sz w:val="24"/>
          <w:szCs w:val="24"/>
          <w:lang w:val="es-ES"/>
        </w:rPr>
      </w:pPr>
      <w:r w:rsidRPr="00117F0E">
        <w:rPr>
          <w:rFonts w:ascii="Times New Roman" w:hAnsi="Times New Roman" w:cs="Times New Roman"/>
          <w:b/>
          <w:sz w:val="24"/>
          <w:szCs w:val="24"/>
        </w:rPr>
        <w:t>III. PROYECTO DE LEY</w:t>
      </w:r>
    </w:p>
    <w:p w:rsidR="00E74BA0" w:rsidRPr="00665BDF" w:rsidRDefault="00E74BA0" w:rsidP="00491C86">
      <w:pPr>
        <w:pStyle w:val="normal0"/>
        <w:pBdr>
          <w:top w:val="nil"/>
          <w:left w:val="nil"/>
          <w:bottom w:val="nil"/>
          <w:right w:val="nil"/>
          <w:between w:val="nil"/>
        </w:pBdr>
        <w:spacing w:line="360" w:lineRule="auto"/>
        <w:ind w:right="6"/>
        <w:jc w:val="both"/>
        <w:rPr>
          <w:rFonts w:ascii="Times New Roman" w:hAnsi="Times New Roman" w:cs="Times New Roman"/>
          <w:sz w:val="24"/>
          <w:szCs w:val="24"/>
        </w:rPr>
      </w:pPr>
    </w:p>
    <w:p w:rsidR="00E74BA0" w:rsidRPr="00665BDF" w:rsidRDefault="00665BDF" w:rsidP="00491C86">
      <w:pPr>
        <w:pStyle w:val="normal0"/>
        <w:pBdr>
          <w:top w:val="nil"/>
          <w:left w:val="nil"/>
          <w:bottom w:val="nil"/>
          <w:right w:val="nil"/>
          <w:between w:val="nil"/>
        </w:pBdr>
        <w:spacing w:line="360" w:lineRule="auto"/>
        <w:ind w:right="6"/>
        <w:jc w:val="both"/>
        <w:rPr>
          <w:rFonts w:ascii="Times New Roman" w:hAnsi="Times New Roman" w:cs="Times New Roman"/>
          <w:sz w:val="24"/>
          <w:szCs w:val="24"/>
        </w:rPr>
      </w:pPr>
      <w:r w:rsidRPr="00665BDF">
        <w:rPr>
          <w:rFonts w:ascii="Times New Roman" w:hAnsi="Times New Roman" w:cs="Times New Roman"/>
          <w:sz w:val="24"/>
          <w:szCs w:val="24"/>
        </w:rPr>
        <w:t>ARTÍCULO ÚNICO:</w:t>
      </w:r>
    </w:p>
    <w:p w:rsidR="00E74BA0" w:rsidRPr="00665BDF" w:rsidRDefault="00E74BA0" w:rsidP="00491C86">
      <w:pPr>
        <w:pStyle w:val="normal0"/>
        <w:pBdr>
          <w:top w:val="nil"/>
          <w:left w:val="nil"/>
          <w:bottom w:val="nil"/>
          <w:right w:val="nil"/>
          <w:between w:val="nil"/>
        </w:pBdr>
        <w:spacing w:line="360" w:lineRule="auto"/>
        <w:ind w:right="6"/>
        <w:jc w:val="both"/>
        <w:rPr>
          <w:rFonts w:ascii="Times New Roman" w:hAnsi="Times New Roman" w:cs="Times New Roman"/>
          <w:sz w:val="24"/>
          <w:szCs w:val="24"/>
        </w:rPr>
      </w:pPr>
    </w:p>
    <w:p w:rsidR="00092E20" w:rsidRPr="003B02DE" w:rsidRDefault="00665BDF" w:rsidP="00491C86">
      <w:pPr>
        <w:pStyle w:val="normal0"/>
        <w:pBdr>
          <w:top w:val="nil"/>
          <w:left w:val="nil"/>
          <w:bottom w:val="nil"/>
          <w:right w:val="nil"/>
          <w:between w:val="nil"/>
        </w:pBdr>
        <w:spacing w:line="360" w:lineRule="auto"/>
        <w:ind w:right="6"/>
        <w:jc w:val="both"/>
        <w:rPr>
          <w:rFonts w:ascii="Times New Roman" w:hAnsi="Times New Roman" w:cs="Times New Roman"/>
          <w:b/>
          <w:sz w:val="24"/>
          <w:szCs w:val="24"/>
        </w:rPr>
      </w:pPr>
      <w:r w:rsidRPr="003B02DE">
        <w:rPr>
          <w:rFonts w:ascii="Times New Roman" w:hAnsi="Times New Roman" w:cs="Times New Roman"/>
          <w:b/>
          <w:sz w:val="24"/>
          <w:szCs w:val="24"/>
        </w:rPr>
        <w:t xml:space="preserve">1.- </w:t>
      </w:r>
      <w:r w:rsidR="00092E20" w:rsidRPr="003B02DE">
        <w:rPr>
          <w:rFonts w:ascii="Times New Roman" w:hAnsi="Times New Roman" w:cs="Times New Roman"/>
          <w:b/>
          <w:sz w:val="24"/>
          <w:szCs w:val="24"/>
        </w:rPr>
        <w:t>Agrégase en el inciso final del artículo 489 del Código Penal, reemplazando el punto aparte por una coma, la siguiente frase:</w:t>
      </w:r>
    </w:p>
    <w:p w:rsidR="00092E20" w:rsidRDefault="00092E20" w:rsidP="00491C86">
      <w:pPr>
        <w:pStyle w:val="normal0"/>
        <w:pBdr>
          <w:top w:val="nil"/>
          <w:left w:val="nil"/>
          <w:bottom w:val="nil"/>
          <w:right w:val="nil"/>
          <w:between w:val="nil"/>
        </w:pBdr>
        <w:spacing w:line="360" w:lineRule="auto"/>
        <w:ind w:right="6"/>
        <w:jc w:val="both"/>
        <w:rPr>
          <w:rFonts w:ascii="Times New Roman" w:hAnsi="Times New Roman" w:cs="Times New Roman"/>
          <w:sz w:val="24"/>
          <w:szCs w:val="24"/>
        </w:rPr>
      </w:pPr>
    </w:p>
    <w:p w:rsidR="00092E20" w:rsidRPr="00522CD6" w:rsidRDefault="003B02DE" w:rsidP="00491C86">
      <w:pPr>
        <w:pStyle w:val="normal0"/>
        <w:pBdr>
          <w:top w:val="nil"/>
          <w:left w:val="nil"/>
          <w:bottom w:val="nil"/>
          <w:right w:val="nil"/>
          <w:between w:val="nil"/>
        </w:pBdr>
        <w:spacing w:line="360" w:lineRule="auto"/>
        <w:ind w:right="6"/>
        <w:jc w:val="both"/>
        <w:rPr>
          <w:rFonts w:ascii="Times New Roman" w:hAnsi="Times New Roman" w:cs="Times New Roman"/>
          <w:i/>
          <w:sz w:val="24"/>
          <w:szCs w:val="24"/>
        </w:rPr>
      </w:pPr>
      <w:r>
        <w:rPr>
          <w:rFonts w:ascii="Times New Roman" w:hAnsi="Times New Roman" w:cs="Times New Roman"/>
          <w:i/>
          <w:sz w:val="24"/>
          <w:szCs w:val="24"/>
        </w:rPr>
        <w:t>“n</w:t>
      </w:r>
      <w:r w:rsidR="00092E20" w:rsidRPr="003B02DE">
        <w:rPr>
          <w:rFonts w:ascii="Times New Roman" w:hAnsi="Times New Roman" w:cs="Times New Roman"/>
          <w:i/>
          <w:sz w:val="24"/>
          <w:szCs w:val="24"/>
        </w:rPr>
        <w:t xml:space="preserve">i cuando la víctima tenga algún grado de discapacidad física o mental, o de dependencia respecto del imputado”. </w:t>
      </w:r>
    </w:p>
    <w:p w:rsidR="00092E20" w:rsidRDefault="00092E20" w:rsidP="00491C86">
      <w:pPr>
        <w:pStyle w:val="normal0"/>
        <w:pBdr>
          <w:top w:val="nil"/>
          <w:left w:val="nil"/>
          <w:bottom w:val="nil"/>
          <w:right w:val="nil"/>
          <w:between w:val="nil"/>
        </w:pBdr>
        <w:spacing w:line="360" w:lineRule="auto"/>
        <w:ind w:right="6"/>
        <w:jc w:val="both"/>
        <w:rPr>
          <w:rFonts w:ascii="Times New Roman" w:hAnsi="Times New Roman" w:cs="Times New Roman"/>
          <w:sz w:val="24"/>
          <w:szCs w:val="24"/>
        </w:rPr>
      </w:pPr>
    </w:p>
    <w:p w:rsidR="00E74BA0" w:rsidRPr="003B02DE" w:rsidRDefault="00092E20" w:rsidP="00491C86">
      <w:pPr>
        <w:pStyle w:val="normal0"/>
        <w:pBdr>
          <w:top w:val="nil"/>
          <w:left w:val="nil"/>
          <w:bottom w:val="nil"/>
          <w:right w:val="nil"/>
          <w:between w:val="nil"/>
        </w:pBdr>
        <w:spacing w:line="360" w:lineRule="auto"/>
        <w:ind w:right="6"/>
        <w:jc w:val="both"/>
        <w:rPr>
          <w:rFonts w:ascii="Times New Roman" w:hAnsi="Times New Roman" w:cs="Times New Roman"/>
          <w:b/>
          <w:sz w:val="24"/>
          <w:szCs w:val="24"/>
        </w:rPr>
      </w:pPr>
      <w:r w:rsidRPr="003B02DE">
        <w:rPr>
          <w:rFonts w:ascii="Times New Roman" w:hAnsi="Times New Roman" w:cs="Times New Roman"/>
          <w:b/>
          <w:sz w:val="24"/>
          <w:szCs w:val="24"/>
        </w:rPr>
        <w:t xml:space="preserve">2.- </w:t>
      </w:r>
      <w:r w:rsidR="00665BDF" w:rsidRPr="003B02DE">
        <w:rPr>
          <w:rFonts w:ascii="Times New Roman" w:hAnsi="Times New Roman" w:cs="Times New Roman"/>
          <w:b/>
          <w:sz w:val="24"/>
          <w:szCs w:val="24"/>
        </w:rPr>
        <w:t>Agrégase una letra f) al artículo 175</w:t>
      </w:r>
      <w:r w:rsidR="003819B0">
        <w:rPr>
          <w:rFonts w:ascii="Times New Roman" w:hAnsi="Times New Roman" w:cs="Times New Roman"/>
          <w:b/>
          <w:sz w:val="24"/>
          <w:szCs w:val="24"/>
        </w:rPr>
        <w:t xml:space="preserve"> del Código Procesal Penal, </w:t>
      </w:r>
      <w:r w:rsidR="00665BDF" w:rsidRPr="003B02DE">
        <w:rPr>
          <w:rFonts w:ascii="Times New Roman" w:hAnsi="Times New Roman" w:cs="Times New Roman"/>
          <w:b/>
          <w:sz w:val="24"/>
          <w:szCs w:val="24"/>
        </w:rPr>
        <w:t>antes del inciso final</w:t>
      </w:r>
      <w:r w:rsidR="003819B0">
        <w:rPr>
          <w:rFonts w:ascii="Times New Roman" w:hAnsi="Times New Roman" w:cs="Times New Roman"/>
          <w:b/>
          <w:sz w:val="24"/>
          <w:szCs w:val="24"/>
        </w:rPr>
        <w:t>,</w:t>
      </w:r>
      <w:r w:rsidR="00665BDF" w:rsidRPr="003B02DE">
        <w:rPr>
          <w:rFonts w:ascii="Times New Roman" w:hAnsi="Times New Roman" w:cs="Times New Roman"/>
          <w:b/>
          <w:sz w:val="24"/>
          <w:szCs w:val="24"/>
        </w:rPr>
        <w:t xml:space="preserve"> del siguiente tenor:</w:t>
      </w:r>
    </w:p>
    <w:p w:rsidR="00E74BA0" w:rsidRPr="00665BDF" w:rsidRDefault="00E74BA0" w:rsidP="00491C86">
      <w:pPr>
        <w:pStyle w:val="normal0"/>
        <w:pBdr>
          <w:top w:val="nil"/>
          <w:left w:val="nil"/>
          <w:bottom w:val="nil"/>
          <w:right w:val="nil"/>
          <w:between w:val="nil"/>
        </w:pBdr>
        <w:spacing w:line="360" w:lineRule="auto"/>
        <w:ind w:right="6"/>
        <w:jc w:val="both"/>
        <w:rPr>
          <w:rFonts w:ascii="Times New Roman" w:hAnsi="Times New Roman" w:cs="Times New Roman"/>
          <w:sz w:val="24"/>
          <w:szCs w:val="24"/>
        </w:rPr>
      </w:pPr>
    </w:p>
    <w:p w:rsidR="00E74BA0" w:rsidRPr="00665BDF" w:rsidRDefault="00665BDF" w:rsidP="00491C86">
      <w:pPr>
        <w:pStyle w:val="normal0"/>
        <w:pBdr>
          <w:top w:val="nil"/>
          <w:left w:val="nil"/>
          <w:bottom w:val="nil"/>
          <w:right w:val="nil"/>
          <w:between w:val="nil"/>
        </w:pBdr>
        <w:spacing w:line="360" w:lineRule="auto"/>
        <w:ind w:right="6"/>
        <w:jc w:val="both"/>
        <w:rPr>
          <w:rFonts w:ascii="Times New Roman" w:hAnsi="Times New Roman" w:cs="Times New Roman"/>
          <w:i/>
          <w:sz w:val="24"/>
          <w:szCs w:val="24"/>
        </w:rPr>
      </w:pPr>
      <w:r w:rsidRPr="00665BDF">
        <w:rPr>
          <w:rFonts w:ascii="Times New Roman" w:hAnsi="Times New Roman" w:cs="Times New Roman"/>
          <w:i/>
          <w:sz w:val="24"/>
          <w:szCs w:val="24"/>
        </w:rPr>
        <w:t>“f) Las instituciones bancarias, financieras, administradoras de fondos de pensión</w:t>
      </w:r>
      <w:r w:rsidR="00092E20">
        <w:rPr>
          <w:rFonts w:ascii="Times New Roman" w:hAnsi="Times New Roman" w:cs="Times New Roman"/>
          <w:i/>
          <w:sz w:val="24"/>
          <w:szCs w:val="24"/>
        </w:rPr>
        <w:t>, cooperativas de ahorro y crédito, cajas de compensación</w:t>
      </w:r>
      <w:r w:rsidR="008A13E4">
        <w:rPr>
          <w:rFonts w:ascii="Times New Roman" w:hAnsi="Times New Roman" w:cs="Times New Roman"/>
          <w:i/>
          <w:sz w:val="24"/>
          <w:szCs w:val="24"/>
        </w:rPr>
        <w:t>, compañías de seguro</w:t>
      </w:r>
      <w:r w:rsidR="002F4E83">
        <w:rPr>
          <w:rFonts w:ascii="Times New Roman" w:hAnsi="Times New Roman" w:cs="Times New Roman"/>
          <w:i/>
          <w:sz w:val="24"/>
          <w:szCs w:val="24"/>
        </w:rPr>
        <w:t>s</w:t>
      </w:r>
      <w:r w:rsidRPr="00665BDF">
        <w:rPr>
          <w:rFonts w:ascii="Times New Roman" w:hAnsi="Times New Roman" w:cs="Times New Roman"/>
          <w:i/>
          <w:sz w:val="24"/>
          <w:szCs w:val="24"/>
        </w:rPr>
        <w:t xml:space="preserve"> y otras de similar naturaleza, directamente o por medio de sus gerentes, ejecutivos o empleados, de los delitos que ocurran en sus dependencias o que afecten a sus clientes con ocasión de operaciones propias de su giro.”</w:t>
      </w:r>
    </w:p>
    <w:p w:rsidR="00E74BA0" w:rsidRDefault="00E74BA0" w:rsidP="00491C86">
      <w:pPr>
        <w:pStyle w:val="normal0"/>
        <w:pBdr>
          <w:top w:val="nil"/>
          <w:left w:val="nil"/>
          <w:bottom w:val="nil"/>
          <w:right w:val="nil"/>
          <w:between w:val="nil"/>
        </w:pBdr>
        <w:spacing w:line="360" w:lineRule="auto"/>
        <w:ind w:right="6"/>
        <w:jc w:val="both"/>
        <w:rPr>
          <w:rFonts w:ascii="Times New Roman" w:hAnsi="Times New Roman" w:cs="Times New Roman"/>
          <w:sz w:val="24"/>
          <w:szCs w:val="24"/>
        </w:rPr>
      </w:pPr>
    </w:p>
    <w:p w:rsidR="003819B0" w:rsidRPr="003819B0" w:rsidRDefault="003819B0" w:rsidP="00491C86">
      <w:pPr>
        <w:spacing w:line="360" w:lineRule="auto"/>
        <w:ind w:right="6"/>
        <w:jc w:val="both"/>
        <w:rPr>
          <w:rFonts w:ascii="Times New Roman" w:eastAsia="Calibri" w:hAnsi="Times New Roman" w:cs="Times New Roman"/>
          <w:b/>
          <w:bCs/>
          <w:sz w:val="24"/>
          <w:szCs w:val="24"/>
        </w:rPr>
      </w:pPr>
      <w:r w:rsidRPr="003819B0">
        <w:rPr>
          <w:rFonts w:ascii="Times New Roman" w:hAnsi="Times New Roman" w:cs="Times New Roman"/>
          <w:sz w:val="24"/>
          <w:szCs w:val="24"/>
        </w:rPr>
        <w:t xml:space="preserve">3.- </w:t>
      </w:r>
      <w:r w:rsidRPr="003819B0">
        <w:rPr>
          <w:rFonts w:ascii="Times New Roman" w:eastAsia="Calibri" w:hAnsi="Times New Roman" w:cs="Times New Roman"/>
          <w:b/>
          <w:bCs/>
          <w:sz w:val="24"/>
          <w:szCs w:val="24"/>
          <w:lang w:val="es-ES_tradnl"/>
        </w:rPr>
        <w:t xml:space="preserve">Incorpórese un nuevo artículo 6° bis a </w:t>
      </w:r>
      <w:r w:rsidRPr="003819B0">
        <w:rPr>
          <w:rFonts w:ascii="Times New Roman" w:eastAsia="Calibri" w:hAnsi="Times New Roman" w:cs="Times New Roman"/>
          <w:b/>
          <w:bCs/>
          <w:sz w:val="24"/>
          <w:szCs w:val="24"/>
        </w:rPr>
        <w:t>la Ley N</w:t>
      </w:r>
      <w:r w:rsidRPr="003819B0">
        <w:rPr>
          <w:rFonts w:ascii="Times New Roman" w:hAnsi="Times New Roman" w:cs="Times New Roman"/>
          <w:b/>
          <w:bCs/>
          <w:sz w:val="24"/>
          <w:szCs w:val="24"/>
        </w:rPr>
        <w:t xml:space="preserve">° </w:t>
      </w:r>
      <w:r w:rsidRPr="003819B0">
        <w:rPr>
          <w:rFonts w:ascii="Times New Roman" w:eastAsia="Calibri" w:hAnsi="Times New Roman" w:cs="Times New Roman"/>
          <w:b/>
          <w:bCs/>
          <w:sz w:val="24"/>
          <w:szCs w:val="24"/>
        </w:rPr>
        <w:t xml:space="preserve">20.066 sobre Violencia intrafamiliar, del siguiente tenor: </w:t>
      </w:r>
    </w:p>
    <w:p w:rsidR="003819B0" w:rsidRPr="003819B0" w:rsidRDefault="003819B0" w:rsidP="00491C86">
      <w:pPr>
        <w:spacing w:line="360" w:lineRule="auto"/>
        <w:ind w:right="6"/>
        <w:jc w:val="both"/>
        <w:rPr>
          <w:rFonts w:ascii="Times New Roman" w:eastAsia="Calibri" w:hAnsi="Times New Roman" w:cs="Times New Roman"/>
          <w:b/>
          <w:bCs/>
          <w:sz w:val="24"/>
          <w:szCs w:val="24"/>
        </w:rPr>
      </w:pPr>
    </w:p>
    <w:p w:rsidR="003819B0" w:rsidRPr="003819B0" w:rsidRDefault="003819B0" w:rsidP="00491C86">
      <w:pPr>
        <w:spacing w:line="360" w:lineRule="auto"/>
        <w:ind w:right="6" w:firstLine="720"/>
        <w:jc w:val="both"/>
        <w:rPr>
          <w:rFonts w:ascii="Times New Roman" w:eastAsia="Calibri" w:hAnsi="Times New Roman" w:cs="Times New Roman"/>
          <w:b/>
          <w:bCs/>
          <w:i/>
          <w:sz w:val="24"/>
          <w:szCs w:val="24"/>
        </w:rPr>
      </w:pPr>
      <w:r w:rsidRPr="003819B0">
        <w:rPr>
          <w:rFonts w:ascii="Times New Roman" w:eastAsia="Calibri" w:hAnsi="Times New Roman" w:cs="Times New Roman"/>
          <w:b/>
          <w:bCs/>
          <w:i/>
          <w:sz w:val="24"/>
          <w:szCs w:val="24"/>
        </w:rPr>
        <w:t>“</w:t>
      </w:r>
      <w:r w:rsidRPr="003819B0">
        <w:rPr>
          <w:rFonts w:ascii="Times New Roman" w:eastAsia="Calibri" w:hAnsi="Times New Roman" w:cs="Times New Roman"/>
          <w:bCs/>
          <w:i/>
          <w:sz w:val="24"/>
          <w:szCs w:val="24"/>
          <w:lang w:val="es-ES_tradnl"/>
        </w:rPr>
        <w:t xml:space="preserve">Será constitutivo de abuso patrimonial todo acto, directo o indirecto, de tomar, apropiarse, obtener o retener la propiedad real o personal de un adulto mayor, a fin de hacer uso indebido de ellos o con la intención de defraudar, o ambos. Asimismo, será considerado abuso patrimonial, cualquier acto de engaño en beneficio propio o de terceros que tenga como origen un incumplimiento de los deberes de cuidado respecto del adulto mayor, sea que provengan de una relación de familia, contractual, judicial, o en virtud de la ley, sea quien sea la persona que tenga a su cuidado al adulto mayor. Lo anterior, sin perjuicio de otros delitos que puedan configurarse. </w:t>
      </w:r>
    </w:p>
    <w:p w:rsidR="003819B0" w:rsidRPr="003819B0" w:rsidRDefault="003819B0" w:rsidP="00491C86">
      <w:pPr>
        <w:spacing w:line="360" w:lineRule="auto"/>
        <w:ind w:right="6"/>
        <w:jc w:val="both"/>
        <w:rPr>
          <w:rFonts w:ascii="Times New Roman" w:eastAsia="Calibri" w:hAnsi="Times New Roman" w:cs="Times New Roman"/>
          <w:bCs/>
          <w:i/>
          <w:sz w:val="24"/>
          <w:szCs w:val="24"/>
          <w:lang w:val="es-ES_tradnl"/>
        </w:rPr>
      </w:pPr>
    </w:p>
    <w:p w:rsidR="00491C86" w:rsidRDefault="00491C86">
      <w:pPr>
        <w:rPr>
          <w:rFonts w:ascii="Times New Roman" w:eastAsia="Calibri" w:hAnsi="Times New Roman" w:cs="Times New Roman"/>
          <w:bCs/>
          <w:i/>
          <w:sz w:val="24"/>
          <w:szCs w:val="24"/>
          <w:lang w:val="es-ES_tradnl"/>
        </w:rPr>
      </w:pPr>
      <w:r>
        <w:rPr>
          <w:rFonts w:ascii="Times New Roman" w:eastAsia="Calibri" w:hAnsi="Times New Roman" w:cs="Times New Roman"/>
          <w:bCs/>
          <w:i/>
          <w:sz w:val="24"/>
          <w:szCs w:val="24"/>
          <w:lang w:val="es-ES_tradnl"/>
        </w:rPr>
        <w:br w:type="page"/>
      </w:r>
    </w:p>
    <w:p w:rsidR="00491C86" w:rsidRDefault="00491C86" w:rsidP="00491C86">
      <w:pPr>
        <w:spacing w:line="360" w:lineRule="auto"/>
        <w:ind w:right="6"/>
        <w:jc w:val="both"/>
        <w:rPr>
          <w:rFonts w:ascii="Times New Roman" w:eastAsia="Calibri" w:hAnsi="Times New Roman" w:cs="Times New Roman"/>
          <w:bCs/>
          <w:i/>
          <w:sz w:val="24"/>
          <w:szCs w:val="24"/>
          <w:lang w:val="es-ES_tradnl"/>
        </w:rPr>
      </w:pPr>
    </w:p>
    <w:p w:rsidR="003819B0" w:rsidRPr="003819B0" w:rsidRDefault="003819B0" w:rsidP="00491C86">
      <w:pPr>
        <w:spacing w:line="360" w:lineRule="auto"/>
        <w:ind w:right="6"/>
        <w:jc w:val="both"/>
        <w:rPr>
          <w:rFonts w:ascii="Times New Roman" w:eastAsia="Calibri" w:hAnsi="Times New Roman" w:cs="Times New Roman"/>
          <w:bCs/>
          <w:i/>
          <w:sz w:val="24"/>
          <w:szCs w:val="24"/>
        </w:rPr>
      </w:pPr>
      <w:r w:rsidRPr="003819B0">
        <w:rPr>
          <w:rFonts w:ascii="Times New Roman" w:eastAsia="Calibri" w:hAnsi="Times New Roman" w:cs="Times New Roman"/>
          <w:bCs/>
          <w:i/>
          <w:sz w:val="24"/>
          <w:szCs w:val="24"/>
          <w:lang w:val="es-ES_tradnl"/>
        </w:rPr>
        <w:tab/>
        <w:t xml:space="preserve">Será también constitutivo de este tipo de abuso </w:t>
      </w:r>
      <w:r w:rsidRPr="003819B0">
        <w:rPr>
          <w:rFonts w:ascii="Times New Roman" w:eastAsia="Calibri" w:hAnsi="Times New Roman" w:cs="Times New Roman"/>
          <w:bCs/>
          <w:i/>
          <w:sz w:val="24"/>
          <w:szCs w:val="24"/>
        </w:rPr>
        <w:t xml:space="preserve">el hecho de que un adulto mayor, dueño o poseedor, a cualquier título, de un inmueble que </w:t>
      </w:r>
      <w:r>
        <w:rPr>
          <w:rFonts w:ascii="Times New Roman" w:eastAsia="Calibri" w:hAnsi="Times New Roman" w:cs="Times New Roman"/>
          <w:bCs/>
          <w:i/>
          <w:sz w:val="24"/>
          <w:szCs w:val="24"/>
        </w:rPr>
        <w:t>reside</w:t>
      </w:r>
      <w:r w:rsidRPr="003819B0">
        <w:rPr>
          <w:rFonts w:ascii="Times New Roman" w:eastAsia="Calibri" w:hAnsi="Times New Roman" w:cs="Times New Roman"/>
          <w:bCs/>
          <w:i/>
          <w:sz w:val="24"/>
          <w:szCs w:val="24"/>
        </w:rPr>
        <w:t xml:space="preserve">, sea expulsado de él, relegado a sectores secundarios o se le restrinja o limite su desplazamiento al interior de ese bien raíz, por algunos de los parientes que lo tienen a </w:t>
      </w:r>
      <w:r w:rsidRPr="003819B0">
        <w:rPr>
          <w:rFonts w:ascii="Times New Roman" w:eastAsia="Calibri" w:hAnsi="Times New Roman" w:cs="Times New Roman"/>
          <w:bCs/>
          <w:i/>
          <w:sz w:val="24"/>
          <w:szCs w:val="24"/>
          <w:lang w:val="es-ES_tradnl"/>
        </w:rPr>
        <w:t xml:space="preserve">su cuidado, o de parte de quien el adulto mayor depende”. </w:t>
      </w:r>
    </w:p>
    <w:p w:rsidR="003819B0" w:rsidRPr="00665BDF" w:rsidRDefault="003819B0" w:rsidP="00491C86">
      <w:pPr>
        <w:pStyle w:val="normal0"/>
        <w:pBdr>
          <w:top w:val="nil"/>
          <w:left w:val="nil"/>
          <w:bottom w:val="nil"/>
          <w:right w:val="nil"/>
          <w:between w:val="nil"/>
        </w:pBdr>
        <w:ind w:right="6"/>
        <w:jc w:val="both"/>
        <w:rPr>
          <w:rFonts w:ascii="Times New Roman" w:hAnsi="Times New Roman" w:cs="Times New Roman"/>
          <w:sz w:val="24"/>
          <w:szCs w:val="24"/>
        </w:rPr>
      </w:pPr>
    </w:p>
    <w:p w:rsidR="00E74BA0" w:rsidRDefault="00E74BA0" w:rsidP="00491C86">
      <w:pPr>
        <w:pStyle w:val="normal0"/>
        <w:pBdr>
          <w:top w:val="nil"/>
          <w:left w:val="nil"/>
          <w:bottom w:val="nil"/>
          <w:right w:val="nil"/>
          <w:between w:val="nil"/>
        </w:pBdr>
        <w:ind w:right="6"/>
        <w:jc w:val="both"/>
        <w:rPr>
          <w:rFonts w:ascii="Times New Roman" w:hAnsi="Times New Roman" w:cs="Times New Roman"/>
          <w:sz w:val="24"/>
          <w:szCs w:val="24"/>
        </w:rPr>
      </w:pPr>
    </w:p>
    <w:p w:rsidR="00922F68" w:rsidRDefault="00922F68" w:rsidP="00491C86">
      <w:pPr>
        <w:pStyle w:val="normal0"/>
        <w:pBdr>
          <w:top w:val="nil"/>
          <w:left w:val="nil"/>
          <w:bottom w:val="nil"/>
          <w:right w:val="nil"/>
          <w:between w:val="nil"/>
        </w:pBdr>
        <w:ind w:right="6"/>
        <w:jc w:val="both"/>
        <w:rPr>
          <w:rFonts w:ascii="Times New Roman" w:hAnsi="Times New Roman" w:cs="Times New Roman"/>
          <w:sz w:val="24"/>
          <w:szCs w:val="24"/>
        </w:rPr>
      </w:pPr>
    </w:p>
    <w:p w:rsidR="00922F68" w:rsidRPr="00922F68" w:rsidRDefault="00922F68" w:rsidP="00491C86">
      <w:pPr>
        <w:pStyle w:val="normal0"/>
        <w:pBdr>
          <w:top w:val="nil"/>
          <w:left w:val="nil"/>
          <w:bottom w:val="nil"/>
          <w:right w:val="nil"/>
          <w:between w:val="nil"/>
        </w:pBdr>
        <w:ind w:right="6"/>
        <w:jc w:val="center"/>
        <w:rPr>
          <w:rFonts w:ascii="Times New Roman" w:hAnsi="Times New Roman" w:cs="Times New Roman"/>
          <w:b/>
          <w:sz w:val="24"/>
          <w:szCs w:val="24"/>
        </w:rPr>
      </w:pPr>
      <w:r w:rsidRPr="00922F68">
        <w:rPr>
          <w:rFonts w:ascii="Times New Roman" w:hAnsi="Times New Roman" w:cs="Times New Roman"/>
          <w:b/>
          <w:sz w:val="24"/>
          <w:szCs w:val="24"/>
        </w:rPr>
        <w:t>ERIKA OLIVERA DE LA FUENTE</w:t>
      </w:r>
    </w:p>
    <w:p w:rsidR="00922F68" w:rsidRPr="00665BDF" w:rsidRDefault="00922F68" w:rsidP="00491C86">
      <w:pPr>
        <w:pStyle w:val="normal0"/>
        <w:pBdr>
          <w:top w:val="nil"/>
          <w:left w:val="nil"/>
          <w:bottom w:val="nil"/>
          <w:right w:val="nil"/>
          <w:between w:val="nil"/>
        </w:pBdr>
        <w:ind w:right="6"/>
        <w:jc w:val="center"/>
        <w:rPr>
          <w:rFonts w:ascii="Times New Roman" w:hAnsi="Times New Roman" w:cs="Times New Roman"/>
          <w:sz w:val="24"/>
          <w:szCs w:val="24"/>
        </w:rPr>
      </w:pPr>
      <w:r>
        <w:rPr>
          <w:rFonts w:ascii="Times New Roman" w:hAnsi="Times New Roman" w:cs="Times New Roman"/>
          <w:sz w:val="24"/>
          <w:szCs w:val="24"/>
        </w:rPr>
        <w:t>H. Diputada</w:t>
      </w:r>
    </w:p>
    <w:sectPr w:rsidR="00922F68" w:rsidRPr="00665BDF" w:rsidSect="00C9686B">
      <w:footerReference w:type="default" r:id="rId7"/>
      <w:pgSz w:w="12242" w:h="18722" w:code="1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6CB" w:rsidRDefault="00ED46CB">
      <w:pPr>
        <w:spacing w:line="240" w:lineRule="auto"/>
      </w:pPr>
      <w:r>
        <w:separator/>
      </w:r>
    </w:p>
  </w:endnote>
  <w:endnote w:type="continuationSeparator" w:id="0">
    <w:p w:rsidR="00ED46CB" w:rsidRDefault="00ED46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4D" w:rsidRDefault="009E1E62">
    <w:pPr>
      <w:pStyle w:val="normal0"/>
      <w:jc w:val="right"/>
    </w:pPr>
    <w:r>
      <w:fldChar w:fldCharType="begin"/>
    </w:r>
    <w:r w:rsidR="000F5E4D">
      <w:instrText>PAGE</w:instrText>
    </w:r>
    <w:r>
      <w:fldChar w:fldCharType="separate"/>
    </w:r>
    <w:r w:rsidR="008E374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6CB" w:rsidRDefault="00ED46CB">
      <w:pPr>
        <w:spacing w:line="240" w:lineRule="auto"/>
      </w:pPr>
      <w:r>
        <w:separator/>
      </w:r>
    </w:p>
  </w:footnote>
  <w:footnote w:type="continuationSeparator" w:id="0">
    <w:p w:rsidR="00ED46CB" w:rsidRDefault="00ED46CB">
      <w:pPr>
        <w:spacing w:line="240" w:lineRule="auto"/>
      </w:pPr>
      <w:r>
        <w:continuationSeparator/>
      </w:r>
    </w:p>
  </w:footnote>
  <w:footnote w:id="1">
    <w:p w:rsidR="000F5E4D" w:rsidRPr="00762CE2" w:rsidRDefault="000F5E4D" w:rsidP="00762CE2">
      <w:pPr>
        <w:pStyle w:val="normal0"/>
        <w:pBdr>
          <w:top w:val="nil"/>
          <w:left w:val="nil"/>
          <w:bottom w:val="nil"/>
          <w:right w:val="nil"/>
          <w:between w:val="nil"/>
        </w:pBdr>
        <w:spacing w:line="240" w:lineRule="auto"/>
        <w:jc w:val="both"/>
        <w:rPr>
          <w:rFonts w:ascii="Times New Roman" w:hAnsi="Times New Roman" w:cs="Times New Roman"/>
        </w:rPr>
      </w:pPr>
      <w:r w:rsidRPr="00762CE2">
        <w:rPr>
          <w:rFonts w:ascii="Times New Roman" w:hAnsi="Times New Roman" w:cs="Times New Roman"/>
          <w:vertAlign w:val="superscript"/>
        </w:rPr>
        <w:footnoteRef/>
      </w:r>
      <w:r w:rsidRPr="00762CE2">
        <w:rPr>
          <w:rFonts w:ascii="Times New Roman" w:hAnsi="Times New Roman" w:cs="Times New Roman"/>
        </w:rPr>
        <w:t xml:space="preserve"> </w:t>
      </w:r>
      <w:r w:rsidRPr="00762CE2">
        <w:rPr>
          <w:rFonts w:ascii="Times New Roman" w:hAnsi="Times New Roman" w:cs="Times New Roman"/>
          <w:smallCaps/>
        </w:rPr>
        <w:t>Biblioteca del Congreso Nacional</w:t>
      </w:r>
      <w:r w:rsidRPr="00762CE2">
        <w:rPr>
          <w:rFonts w:ascii="Times New Roman" w:hAnsi="Times New Roman" w:cs="Times New Roman"/>
        </w:rPr>
        <w:t>,</w:t>
      </w:r>
      <w:r w:rsidRPr="00762CE2">
        <w:rPr>
          <w:rFonts w:ascii="Times New Roman" w:hAnsi="Times New Roman" w:cs="Times New Roman"/>
          <w:i/>
        </w:rPr>
        <w:t xml:space="preserve"> Deber de informar el abuso financiero contra adulto mayor: Estados Unidos de America”</w:t>
      </w:r>
      <w:r w:rsidRPr="00762CE2">
        <w:rPr>
          <w:rFonts w:ascii="Times New Roman" w:hAnsi="Times New Roman" w:cs="Times New Roman"/>
        </w:rPr>
        <w:t>. Informe, diciembre 2016, p. 1.</w:t>
      </w:r>
    </w:p>
  </w:footnote>
  <w:footnote w:id="2">
    <w:p w:rsidR="000F5E4D" w:rsidRPr="00762CE2" w:rsidRDefault="000F5E4D" w:rsidP="00762CE2">
      <w:pPr>
        <w:pStyle w:val="normal0"/>
        <w:pBdr>
          <w:top w:val="nil"/>
          <w:left w:val="nil"/>
          <w:bottom w:val="nil"/>
          <w:right w:val="nil"/>
          <w:between w:val="nil"/>
        </w:pBdr>
        <w:spacing w:line="240" w:lineRule="auto"/>
        <w:jc w:val="both"/>
        <w:rPr>
          <w:rFonts w:ascii="Times New Roman" w:hAnsi="Times New Roman" w:cs="Times New Roman"/>
        </w:rPr>
      </w:pPr>
      <w:r w:rsidRPr="00762CE2">
        <w:rPr>
          <w:rFonts w:ascii="Times New Roman" w:hAnsi="Times New Roman" w:cs="Times New Roman"/>
          <w:vertAlign w:val="superscript"/>
        </w:rPr>
        <w:footnoteRef/>
      </w:r>
      <w:r w:rsidRPr="00762CE2">
        <w:rPr>
          <w:rFonts w:ascii="Times New Roman" w:hAnsi="Times New Roman" w:cs="Times New Roman"/>
        </w:rPr>
        <w:t xml:space="preserve"> </w:t>
      </w:r>
      <w:r w:rsidRPr="00762CE2">
        <w:rPr>
          <w:rFonts w:ascii="Times New Roman" w:hAnsi="Times New Roman" w:cs="Times New Roman"/>
          <w:smallCaps/>
        </w:rPr>
        <w:t>Biblioteca del Congreso Nacional</w:t>
      </w:r>
      <w:r w:rsidRPr="00762CE2">
        <w:rPr>
          <w:rFonts w:ascii="Times New Roman" w:hAnsi="Times New Roman" w:cs="Times New Roman"/>
        </w:rPr>
        <w:t xml:space="preserve"> (p.2)</w:t>
      </w:r>
    </w:p>
  </w:footnote>
  <w:footnote w:id="3">
    <w:p w:rsidR="000F5E4D" w:rsidRPr="00117F0E" w:rsidRDefault="000F5E4D">
      <w:pPr>
        <w:pStyle w:val="normal0"/>
        <w:pBdr>
          <w:top w:val="nil"/>
          <w:left w:val="nil"/>
          <w:bottom w:val="nil"/>
          <w:right w:val="nil"/>
          <w:between w:val="nil"/>
        </w:pBdr>
        <w:spacing w:line="240" w:lineRule="auto"/>
        <w:jc w:val="both"/>
        <w:rPr>
          <w:rFonts w:ascii="Times New Roman" w:hAnsi="Times New Roman" w:cs="Times New Roman"/>
        </w:rPr>
      </w:pPr>
      <w:r w:rsidRPr="00117F0E">
        <w:rPr>
          <w:rFonts w:ascii="Times New Roman" w:hAnsi="Times New Roman" w:cs="Times New Roman"/>
          <w:vertAlign w:val="superscript"/>
        </w:rPr>
        <w:footnoteRef/>
      </w:r>
      <w:r w:rsidRPr="00117F0E">
        <w:rPr>
          <w:rFonts w:ascii="Times New Roman" w:hAnsi="Times New Roman" w:cs="Times New Roman"/>
        </w:rPr>
        <w:t xml:space="preserve"> SENAMA, </w:t>
      </w:r>
      <w:r w:rsidRPr="00762CE2">
        <w:rPr>
          <w:rFonts w:ascii="Times New Roman" w:hAnsi="Times New Roman" w:cs="Times New Roman"/>
          <w:i/>
        </w:rPr>
        <w:t>Definición y Tipificación del maltrato al adulto mayor.</w:t>
      </w:r>
      <w:r w:rsidRPr="00117F0E">
        <w:rPr>
          <w:rFonts w:ascii="Times New Roman" w:hAnsi="Times New Roman" w:cs="Times New Roman"/>
        </w:rPr>
        <w:t xml:space="preserve"> Disponible en http://www.senama.cl/filesapp/1288.pdf</w:t>
      </w:r>
    </w:p>
  </w:footnote>
  <w:footnote w:id="4">
    <w:p w:rsidR="000F5E4D" w:rsidRPr="00762CE2" w:rsidRDefault="000F5E4D" w:rsidP="00117F0E">
      <w:pPr>
        <w:pStyle w:val="normal0"/>
        <w:pBdr>
          <w:top w:val="nil"/>
          <w:left w:val="nil"/>
          <w:bottom w:val="nil"/>
          <w:right w:val="nil"/>
          <w:between w:val="nil"/>
        </w:pBdr>
        <w:spacing w:line="240" w:lineRule="auto"/>
        <w:jc w:val="both"/>
        <w:rPr>
          <w:rFonts w:ascii="Times New Roman" w:eastAsia="Garamond" w:hAnsi="Times New Roman" w:cs="Times New Roman"/>
        </w:rPr>
      </w:pPr>
      <w:r w:rsidRPr="00762CE2">
        <w:rPr>
          <w:rFonts w:ascii="Times New Roman" w:hAnsi="Times New Roman" w:cs="Times New Roman"/>
          <w:vertAlign w:val="superscript"/>
        </w:rPr>
        <w:footnoteRef/>
      </w:r>
      <w:r w:rsidRPr="00762CE2">
        <w:rPr>
          <w:rFonts w:ascii="Times New Roman" w:eastAsia="Garamond" w:hAnsi="Times New Roman" w:cs="Times New Roman"/>
        </w:rPr>
        <w:t xml:space="preserve"> </w:t>
      </w:r>
      <w:r w:rsidRPr="00762CE2">
        <w:rPr>
          <w:rFonts w:ascii="Times New Roman" w:eastAsia="Garamond" w:hAnsi="Times New Roman" w:cs="Times New Roman"/>
          <w:smallCaps/>
        </w:rPr>
        <w:t>Lathrop</w:t>
      </w:r>
      <w:r w:rsidRPr="00762CE2">
        <w:rPr>
          <w:rFonts w:ascii="Times New Roman" w:eastAsia="Garamond" w:hAnsi="Times New Roman" w:cs="Times New Roman"/>
        </w:rPr>
        <w:t xml:space="preserve">, Fabiola, </w:t>
      </w:r>
      <w:r w:rsidRPr="00762CE2">
        <w:rPr>
          <w:rFonts w:ascii="Times New Roman" w:eastAsia="Garamond" w:hAnsi="Times New Roman" w:cs="Times New Roman"/>
          <w:i/>
        </w:rPr>
        <w:t xml:space="preserve">Protección jurídica de los adultos mayores en Chile, </w:t>
      </w:r>
      <w:r w:rsidRPr="00762CE2">
        <w:rPr>
          <w:rFonts w:ascii="Times New Roman" w:eastAsia="Garamond" w:hAnsi="Times New Roman" w:cs="Times New Roman"/>
        </w:rPr>
        <w:t xml:space="preserve">en </w:t>
      </w:r>
      <w:r w:rsidRPr="00762CE2">
        <w:rPr>
          <w:rFonts w:ascii="Times New Roman" w:eastAsia="Garamond" w:hAnsi="Times New Roman" w:cs="Times New Roman"/>
          <w:i/>
        </w:rPr>
        <w:t xml:space="preserve">Revista Chilena de Derecho, </w:t>
      </w:r>
      <w:r w:rsidRPr="00762CE2">
        <w:rPr>
          <w:rFonts w:ascii="Times New Roman" w:eastAsia="Garamond" w:hAnsi="Times New Roman" w:cs="Times New Roman"/>
          <w:highlight w:val="white"/>
        </w:rPr>
        <w:t>vol. 36 N</w:t>
      </w:r>
      <w:r w:rsidRPr="00762CE2">
        <w:rPr>
          <w:rFonts w:ascii="Times New Roman" w:eastAsia="Garamond" w:hAnsi="Times New Roman" w:cs="Times New Roman"/>
          <w:highlight w:val="white"/>
          <w:vertAlign w:val="superscript"/>
        </w:rPr>
        <w:t xml:space="preserve">0 </w:t>
      </w:r>
      <w:r w:rsidRPr="00762CE2">
        <w:rPr>
          <w:rFonts w:ascii="Times New Roman" w:eastAsia="Garamond" w:hAnsi="Times New Roman" w:cs="Times New Roman"/>
          <w:highlight w:val="white"/>
        </w:rPr>
        <w:t>1, pp. 77 - 113 [ 2009 ]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6C1"/>
    <w:multiLevelType w:val="multilevel"/>
    <w:tmpl w:val="74820F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4C62E6"/>
    <w:multiLevelType w:val="multilevel"/>
    <w:tmpl w:val="97423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D01618"/>
    <w:multiLevelType w:val="hybridMultilevel"/>
    <w:tmpl w:val="AEDC9B1E"/>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
    <w:nsid w:val="1DFF63C4"/>
    <w:multiLevelType w:val="hybridMultilevel"/>
    <w:tmpl w:val="67C09D34"/>
    <w:lvl w:ilvl="0" w:tplc="0C0A0001">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4">
    <w:nsid w:val="2B2200CE"/>
    <w:multiLevelType w:val="multilevel"/>
    <w:tmpl w:val="74820F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A6916E7"/>
    <w:multiLevelType w:val="hybridMultilevel"/>
    <w:tmpl w:val="8D9E61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4A10F62"/>
    <w:multiLevelType w:val="multilevel"/>
    <w:tmpl w:val="BCE8A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AD270E8"/>
    <w:multiLevelType w:val="multilevel"/>
    <w:tmpl w:val="6E16C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F10633C"/>
    <w:multiLevelType w:val="multilevel"/>
    <w:tmpl w:val="5F6E5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1"/>
  </w:num>
  <w:num w:numId="4">
    <w:abstractNumId w:val="7"/>
  </w:num>
  <w:num w:numId="5">
    <w:abstractNumId w:val="0"/>
  </w:num>
  <w:num w:numId="6">
    <w:abstractNumId w:val="4"/>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E74BA0"/>
    <w:rsid w:val="00012D6C"/>
    <w:rsid w:val="00092E20"/>
    <w:rsid w:val="000E059D"/>
    <w:rsid w:val="000F5E4D"/>
    <w:rsid w:val="001054CE"/>
    <w:rsid w:val="00117F0E"/>
    <w:rsid w:val="001B2E9B"/>
    <w:rsid w:val="00236D69"/>
    <w:rsid w:val="002B20D4"/>
    <w:rsid w:val="002F4E83"/>
    <w:rsid w:val="003412D2"/>
    <w:rsid w:val="003819B0"/>
    <w:rsid w:val="003B02DE"/>
    <w:rsid w:val="00423A60"/>
    <w:rsid w:val="00472649"/>
    <w:rsid w:val="00491C86"/>
    <w:rsid w:val="004E5270"/>
    <w:rsid w:val="00522CD6"/>
    <w:rsid w:val="005C77E2"/>
    <w:rsid w:val="00651AAE"/>
    <w:rsid w:val="00665BDF"/>
    <w:rsid w:val="006C0C06"/>
    <w:rsid w:val="00762CE2"/>
    <w:rsid w:val="008A13E4"/>
    <w:rsid w:val="008E3748"/>
    <w:rsid w:val="00922F68"/>
    <w:rsid w:val="009516E3"/>
    <w:rsid w:val="009E1E62"/>
    <w:rsid w:val="00A75F15"/>
    <w:rsid w:val="00A85CBB"/>
    <w:rsid w:val="00C9686B"/>
    <w:rsid w:val="00CE38A5"/>
    <w:rsid w:val="00CF634A"/>
    <w:rsid w:val="00D53FEB"/>
    <w:rsid w:val="00E15974"/>
    <w:rsid w:val="00E74BA0"/>
    <w:rsid w:val="00ED46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z-Cyrl-UZ"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62"/>
  </w:style>
  <w:style w:type="paragraph" w:styleId="Ttulo1">
    <w:name w:val="heading 1"/>
    <w:basedOn w:val="normal0"/>
    <w:next w:val="normal0"/>
    <w:rsid w:val="009E1E62"/>
    <w:pPr>
      <w:keepNext/>
      <w:keepLines/>
      <w:spacing w:before="400" w:after="120"/>
      <w:outlineLvl w:val="0"/>
    </w:pPr>
    <w:rPr>
      <w:sz w:val="40"/>
      <w:szCs w:val="40"/>
    </w:rPr>
  </w:style>
  <w:style w:type="paragraph" w:styleId="Ttulo2">
    <w:name w:val="heading 2"/>
    <w:basedOn w:val="normal0"/>
    <w:next w:val="normal0"/>
    <w:rsid w:val="009E1E62"/>
    <w:pPr>
      <w:keepNext/>
      <w:keepLines/>
      <w:spacing w:before="360" w:after="120"/>
      <w:outlineLvl w:val="1"/>
    </w:pPr>
    <w:rPr>
      <w:sz w:val="32"/>
      <w:szCs w:val="32"/>
    </w:rPr>
  </w:style>
  <w:style w:type="paragraph" w:styleId="Ttulo3">
    <w:name w:val="heading 3"/>
    <w:basedOn w:val="normal0"/>
    <w:next w:val="normal0"/>
    <w:rsid w:val="009E1E62"/>
    <w:pPr>
      <w:keepNext/>
      <w:keepLines/>
      <w:spacing w:before="320" w:after="80"/>
      <w:outlineLvl w:val="2"/>
    </w:pPr>
    <w:rPr>
      <w:color w:val="434343"/>
      <w:sz w:val="28"/>
      <w:szCs w:val="28"/>
    </w:rPr>
  </w:style>
  <w:style w:type="paragraph" w:styleId="Ttulo4">
    <w:name w:val="heading 4"/>
    <w:basedOn w:val="normal0"/>
    <w:next w:val="normal0"/>
    <w:rsid w:val="009E1E62"/>
    <w:pPr>
      <w:keepNext/>
      <w:keepLines/>
      <w:spacing w:before="280" w:after="80"/>
      <w:outlineLvl w:val="3"/>
    </w:pPr>
    <w:rPr>
      <w:color w:val="666666"/>
      <w:sz w:val="24"/>
      <w:szCs w:val="24"/>
    </w:rPr>
  </w:style>
  <w:style w:type="paragraph" w:styleId="Ttulo5">
    <w:name w:val="heading 5"/>
    <w:basedOn w:val="normal0"/>
    <w:next w:val="normal0"/>
    <w:rsid w:val="009E1E62"/>
    <w:pPr>
      <w:keepNext/>
      <w:keepLines/>
      <w:spacing w:before="240" w:after="80"/>
      <w:outlineLvl w:val="4"/>
    </w:pPr>
    <w:rPr>
      <w:color w:val="666666"/>
    </w:rPr>
  </w:style>
  <w:style w:type="paragraph" w:styleId="Ttulo6">
    <w:name w:val="heading 6"/>
    <w:basedOn w:val="normal0"/>
    <w:next w:val="normal0"/>
    <w:rsid w:val="009E1E6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9E1E62"/>
  </w:style>
  <w:style w:type="table" w:customStyle="1" w:styleId="TableNormal">
    <w:name w:val="Table Normal"/>
    <w:rsid w:val="009E1E62"/>
    <w:tblPr>
      <w:tblCellMar>
        <w:top w:w="0" w:type="dxa"/>
        <w:left w:w="0" w:type="dxa"/>
        <w:bottom w:w="0" w:type="dxa"/>
        <w:right w:w="0" w:type="dxa"/>
      </w:tblCellMar>
    </w:tblPr>
  </w:style>
  <w:style w:type="paragraph" w:styleId="Ttulo">
    <w:name w:val="Title"/>
    <w:basedOn w:val="normal0"/>
    <w:next w:val="normal0"/>
    <w:rsid w:val="009E1E62"/>
    <w:pPr>
      <w:keepNext/>
      <w:keepLines/>
      <w:spacing w:after="60"/>
    </w:pPr>
    <w:rPr>
      <w:sz w:val="52"/>
      <w:szCs w:val="52"/>
    </w:rPr>
  </w:style>
  <w:style w:type="paragraph" w:styleId="Subttulo">
    <w:name w:val="Subtitle"/>
    <w:basedOn w:val="normal0"/>
    <w:next w:val="normal0"/>
    <w:rsid w:val="009E1E62"/>
    <w:pPr>
      <w:keepNext/>
      <w:keepLines/>
      <w:spacing w:after="320"/>
    </w:pPr>
    <w:rPr>
      <w:color w:val="666666"/>
      <w:sz w:val="30"/>
      <w:szCs w:val="30"/>
    </w:rPr>
  </w:style>
  <w:style w:type="paragraph" w:styleId="HTMLconformatoprevio">
    <w:name w:val="HTML Preformatted"/>
    <w:basedOn w:val="Normal"/>
    <w:link w:val="HTMLconformatoprevioCar"/>
    <w:uiPriority w:val="99"/>
    <w:unhideWhenUsed/>
    <w:rsid w:val="0009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Theme="minorEastAsia" w:hAnsi="Courier" w:cs="Courier"/>
      <w:sz w:val="20"/>
      <w:szCs w:val="20"/>
      <w:lang w:val="es-CL"/>
    </w:rPr>
  </w:style>
  <w:style w:type="character" w:customStyle="1" w:styleId="HTMLconformatoprevioCar">
    <w:name w:val="HTML con formato previo Car"/>
    <w:basedOn w:val="Fuentedeprrafopredeter"/>
    <w:link w:val="HTMLconformatoprevio"/>
    <w:uiPriority w:val="99"/>
    <w:rsid w:val="00092E20"/>
    <w:rPr>
      <w:rFonts w:ascii="Courier" w:eastAsiaTheme="minorEastAsia" w:hAnsi="Courier" w:cs="Courier"/>
      <w:sz w:val="20"/>
      <w:szCs w:val="20"/>
      <w:lang w:val="es-CL"/>
    </w:rPr>
  </w:style>
  <w:style w:type="character" w:styleId="Refdecomentario">
    <w:name w:val="annotation reference"/>
    <w:basedOn w:val="Fuentedeprrafopredeter"/>
    <w:uiPriority w:val="99"/>
    <w:semiHidden/>
    <w:unhideWhenUsed/>
    <w:rsid w:val="008A13E4"/>
    <w:rPr>
      <w:sz w:val="18"/>
      <w:szCs w:val="18"/>
    </w:rPr>
  </w:style>
  <w:style w:type="paragraph" w:styleId="Textocomentario">
    <w:name w:val="annotation text"/>
    <w:basedOn w:val="Normal"/>
    <w:link w:val="TextocomentarioCar"/>
    <w:uiPriority w:val="99"/>
    <w:semiHidden/>
    <w:unhideWhenUsed/>
    <w:rsid w:val="008A13E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A13E4"/>
    <w:rPr>
      <w:sz w:val="24"/>
      <w:szCs w:val="24"/>
    </w:rPr>
  </w:style>
  <w:style w:type="paragraph" w:styleId="Asuntodelcomentario">
    <w:name w:val="annotation subject"/>
    <w:basedOn w:val="Textocomentario"/>
    <w:next w:val="Textocomentario"/>
    <w:link w:val="AsuntodelcomentarioCar"/>
    <w:uiPriority w:val="99"/>
    <w:semiHidden/>
    <w:unhideWhenUsed/>
    <w:rsid w:val="008A13E4"/>
    <w:rPr>
      <w:b/>
      <w:bCs/>
      <w:sz w:val="20"/>
      <w:szCs w:val="20"/>
    </w:rPr>
  </w:style>
  <w:style w:type="character" w:customStyle="1" w:styleId="AsuntodelcomentarioCar">
    <w:name w:val="Asunto del comentario Car"/>
    <w:basedOn w:val="TextocomentarioCar"/>
    <w:link w:val="Asuntodelcomentario"/>
    <w:uiPriority w:val="99"/>
    <w:semiHidden/>
    <w:rsid w:val="008A13E4"/>
    <w:rPr>
      <w:b/>
      <w:bCs/>
      <w:sz w:val="20"/>
      <w:szCs w:val="20"/>
    </w:rPr>
  </w:style>
  <w:style w:type="paragraph" w:styleId="Textodeglobo">
    <w:name w:val="Balloon Text"/>
    <w:basedOn w:val="Normal"/>
    <w:link w:val="TextodegloboCar"/>
    <w:uiPriority w:val="99"/>
    <w:semiHidden/>
    <w:unhideWhenUsed/>
    <w:rsid w:val="008A13E4"/>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13E4"/>
    <w:rPr>
      <w:rFonts w:ascii="Lucida Grande" w:hAnsi="Lucida Grande" w:cs="Lucida Grande"/>
      <w:sz w:val="18"/>
      <w:szCs w:val="18"/>
    </w:rPr>
  </w:style>
  <w:style w:type="paragraph" w:styleId="Prrafodelista">
    <w:name w:val="List Paragraph"/>
    <w:basedOn w:val="Normal"/>
    <w:uiPriority w:val="34"/>
    <w:qFormat/>
    <w:rsid w:val="00CE38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outlineLvl w:val="0"/>
    </w:pPr>
    <w:rPr>
      <w:sz w:val="40"/>
      <w:szCs w:val="40"/>
    </w:rPr>
  </w:style>
  <w:style w:type="paragraph" w:styleId="Ttulo2">
    <w:name w:val="heading 2"/>
    <w:basedOn w:val="normal0"/>
    <w:next w:val="normal0"/>
    <w:pPr>
      <w:keepNext/>
      <w:keepLines/>
      <w:spacing w:before="360" w:after="120"/>
      <w:outlineLvl w:val="1"/>
    </w:pPr>
    <w:rPr>
      <w:sz w:val="32"/>
      <w:szCs w:val="32"/>
    </w:rPr>
  </w:style>
  <w:style w:type="paragraph" w:styleId="Ttulo3">
    <w:name w:val="heading 3"/>
    <w:basedOn w:val="normal0"/>
    <w:next w:val="normal0"/>
    <w:pPr>
      <w:keepNext/>
      <w:keepLines/>
      <w:spacing w:before="320" w:after="80"/>
      <w:outlineLvl w:val="2"/>
    </w:pPr>
    <w:rPr>
      <w:color w:val="434343"/>
      <w:sz w:val="28"/>
      <w:szCs w:val="28"/>
    </w:rPr>
  </w:style>
  <w:style w:type="paragraph" w:styleId="Ttulo4">
    <w:name w:val="heading 4"/>
    <w:basedOn w:val="normal0"/>
    <w:next w:val="normal0"/>
    <w:pPr>
      <w:keepNext/>
      <w:keepLines/>
      <w:spacing w:before="280" w:after="80"/>
      <w:outlineLvl w:val="3"/>
    </w:pPr>
    <w:rPr>
      <w:color w:val="666666"/>
      <w:sz w:val="24"/>
      <w:szCs w:val="24"/>
    </w:rPr>
  </w:style>
  <w:style w:type="paragraph" w:styleId="Ttulo5">
    <w:name w:val="heading 5"/>
    <w:basedOn w:val="normal0"/>
    <w:next w:val="normal0"/>
    <w:pPr>
      <w:keepNext/>
      <w:keepLines/>
      <w:spacing w:before="240" w:after="80"/>
      <w:outlineLvl w:val="4"/>
    </w:pPr>
    <w:rPr>
      <w:color w:val="666666"/>
    </w:rPr>
  </w:style>
  <w:style w:type="paragraph" w:styleId="Ttulo6">
    <w:name w:val="heading 6"/>
    <w:basedOn w:val="normal0"/>
    <w:next w:val="normal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pPr>
    <w:rPr>
      <w:sz w:val="52"/>
      <w:szCs w:val="52"/>
    </w:rPr>
  </w:style>
  <w:style w:type="paragraph" w:styleId="Subttulo">
    <w:name w:val="Subtitle"/>
    <w:basedOn w:val="normal0"/>
    <w:next w:val="normal0"/>
    <w:pPr>
      <w:keepNext/>
      <w:keepLines/>
      <w:spacing w:after="320"/>
    </w:pPr>
    <w:rPr>
      <w:color w:val="666666"/>
      <w:sz w:val="30"/>
      <w:szCs w:val="30"/>
    </w:rPr>
  </w:style>
  <w:style w:type="paragraph" w:styleId="HTMLconformatoprevio">
    <w:name w:val="HTML Preformatted"/>
    <w:basedOn w:val="Normal"/>
    <w:link w:val="HTMLconformatoprevioCar"/>
    <w:uiPriority w:val="99"/>
    <w:unhideWhenUsed/>
    <w:rsid w:val="0009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Theme="minorEastAsia" w:hAnsi="Courier" w:cs="Courier"/>
      <w:sz w:val="20"/>
      <w:szCs w:val="20"/>
      <w:lang w:val="es-CL"/>
    </w:rPr>
  </w:style>
  <w:style w:type="character" w:customStyle="1" w:styleId="HTMLconformatoprevioCar">
    <w:name w:val="HTML con formato previo Car"/>
    <w:basedOn w:val="Fuentedeprrafopredeter"/>
    <w:link w:val="HTMLconformatoprevio"/>
    <w:uiPriority w:val="99"/>
    <w:rsid w:val="00092E20"/>
    <w:rPr>
      <w:rFonts w:ascii="Courier" w:eastAsiaTheme="minorEastAsia" w:hAnsi="Courier" w:cs="Courier"/>
      <w:sz w:val="20"/>
      <w:szCs w:val="20"/>
      <w:lang w:val="es-CL"/>
    </w:rPr>
  </w:style>
  <w:style w:type="character" w:styleId="Refdecomentario">
    <w:name w:val="annotation reference"/>
    <w:basedOn w:val="Fuentedeprrafopredeter"/>
    <w:uiPriority w:val="99"/>
    <w:semiHidden/>
    <w:unhideWhenUsed/>
    <w:rsid w:val="008A13E4"/>
    <w:rPr>
      <w:sz w:val="18"/>
      <w:szCs w:val="18"/>
    </w:rPr>
  </w:style>
  <w:style w:type="paragraph" w:styleId="Textocomentario">
    <w:name w:val="annotation text"/>
    <w:basedOn w:val="Normal"/>
    <w:link w:val="TextocomentarioCar"/>
    <w:uiPriority w:val="99"/>
    <w:semiHidden/>
    <w:unhideWhenUsed/>
    <w:rsid w:val="008A13E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A13E4"/>
    <w:rPr>
      <w:sz w:val="24"/>
      <w:szCs w:val="24"/>
    </w:rPr>
  </w:style>
  <w:style w:type="paragraph" w:styleId="Asuntodelcomentario">
    <w:name w:val="annotation subject"/>
    <w:basedOn w:val="Textocomentario"/>
    <w:next w:val="Textocomentario"/>
    <w:link w:val="AsuntodelcomentarioCar"/>
    <w:uiPriority w:val="99"/>
    <w:semiHidden/>
    <w:unhideWhenUsed/>
    <w:rsid w:val="008A13E4"/>
    <w:rPr>
      <w:b/>
      <w:bCs/>
      <w:sz w:val="20"/>
      <w:szCs w:val="20"/>
    </w:rPr>
  </w:style>
  <w:style w:type="character" w:customStyle="1" w:styleId="AsuntodelcomentarioCar">
    <w:name w:val="Asunto del comentario Car"/>
    <w:basedOn w:val="TextocomentarioCar"/>
    <w:link w:val="Asuntodelcomentario"/>
    <w:uiPriority w:val="99"/>
    <w:semiHidden/>
    <w:rsid w:val="008A13E4"/>
    <w:rPr>
      <w:b/>
      <w:bCs/>
      <w:sz w:val="20"/>
      <w:szCs w:val="20"/>
    </w:rPr>
  </w:style>
  <w:style w:type="paragraph" w:styleId="Textodeglobo">
    <w:name w:val="Balloon Text"/>
    <w:basedOn w:val="Normal"/>
    <w:link w:val="TextodegloboCar"/>
    <w:uiPriority w:val="99"/>
    <w:semiHidden/>
    <w:unhideWhenUsed/>
    <w:rsid w:val="008A13E4"/>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13E4"/>
    <w:rPr>
      <w:rFonts w:ascii="Lucida Grande" w:hAnsi="Lucida Grande" w:cs="Lucida Grande"/>
      <w:sz w:val="18"/>
      <w:szCs w:val="18"/>
    </w:rPr>
  </w:style>
  <w:style w:type="paragraph" w:styleId="Prrafodelista">
    <w:name w:val="List Paragraph"/>
    <w:basedOn w:val="Normal"/>
    <w:uiPriority w:val="34"/>
    <w:qFormat/>
    <w:rsid w:val="00CE38A5"/>
    <w:pPr>
      <w:ind w:left="720"/>
      <w:contextualSpacing/>
    </w:pPr>
  </w:style>
</w:styles>
</file>

<file path=word/webSettings.xml><?xml version="1.0" encoding="utf-8"?>
<w:webSettings xmlns:r="http://schemas.openxmlformats.org/officeDocument/2006/relationships" xmlns:w="http://schemas.openxmlformats.org/wordprocessingml/2006/main">
  <w:divs>
    <w:div w:id="66727435">
      <w:bodyDiv w:val="1"/>
      <w:marLeft w:val="0"/>
      <w:marRight w:val="0"/>
      <w:marTop w:val="0"/>
      <w:marBottom w:val="0"/>
      <w:divBdr>
        <w:top w:val="none" w:sz="0" w:space="0" w:color="auto"/>
        <w:left w:val="none" w:sz="0" w:space="0" w:color="auto"/>
        <w:bottom w:val="none" w:sz="0" w:space="0" w:color="auto"/>
        <w:right w:val="none" w:sz="0" w:space="0" w:color="auto"/>
      </w:divBdr>
    </w:div>
    <w:div w:id="423378419">
      <w:bodyDiv w:val="1"/>
      <w:marLeft w:val="0"/>
      <w:marRight w:val="0"/>
      <w:marTop w:val="0"/>
      <w:marBottom w:val="0"/>
      <w:divBdr>
        <w:top w:val="none" w:sz="0" w:space="0" w:color="auto"/>
        <w:left w:val="none" w:sz="0" w:space="0" w:color="auto"/>
        <w:bottom w:val="none" w:sz="0" w:space="0" w:color="auto"/>
        <w:right w:val="none" w:sz="0" w:space="0" w:color="auto"/>
      </w:divBdr>
    </w:div>
    <w:div w:id="580064755">
      <w:bodyDiv w:val="1"/>
      <w:marLeft w:val="0"/>
      <w:marRight w:val="0"/>
      <w:marTop w:val="0"/>
      <w:marBottom w:val="0"/>
      <w:divBdr>
        <w:top w:val="none" w:sz="0" w:space="0" w:color="auto"/>
        <w:left w:val="none" w:sz="0" w:space="0" w:color="auto"/>
        <w:bottom w:val="none" w:sz="0" w:space="0" w:color="auto"/>
        <w:right w:val="none" w:sz="0" w:space="0" w:color="auto"/>
      </w:divBdr>
    </w:div>
    <w:div w:id="657541399">
      <w:bodyDiv w:val="1"/>
      <w:marLeft w:val="0"/>
      <w:marRight w:val="0"/>
      <w:marTop w:val="0"/>
      <w:marBottom w:val="0"/>
      <w:divBdr>
        <w:top w:val="none" w:sz="0" w:space="0" w:color="auto"/>
        <w:left w:val="none" w:sz="0" w:space="0" w:color="auto"/>
        <w:bottom w:val="none" w:sz="0" w:space="0" w:color="auto"/>
        <w:right w:val="none" w:sz="0" w:space="0" w:color="auto"/>
      </w:divBdr>
    </w:div>
    <w:div w:id="2115244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2592</Words>
  <Characters>14259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Eduardo Faúndez</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6</cp:revision>
  <dcterms:created xsi:type="dcterms:W3CDTF">2019-07-01T02:07:00Z</dcterms:created>
  <dcterms:modified xsi:type="dcterms:W3CDTF">2019-07-09T23:38:00Z</dcterms:modified>
</cp:coreProperties>
</file>