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8158FA">
      <w:pPr>
        <w:jc w:val="both"/>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5pt;height:79.55pt" filled="t">
            <v:fill opacity="0" color2="black"/>
            <v:imagedata r:id="rId7" o:title="" croptop="-206f" cropbottom="-206f" cropleft="-163f" cropright="-163f"/>
          </v:shape>
        </w:pict>
      </w:r>
    </w:p>
    <w:p w:rsidR="00000000" w:rsidRDefault="00DD3797" w:rsidP="00DD3797">
      <w:pPr>
        <w:spacing w:line="360" w:lineRule="auto"/>
        <w:jc w:val="both"/>
        <w:rPr>
          <w:b/>
          <w:bCs/>
        </w:rPr>
      </w:pPr>
      <w:r w:rsidRPr="00DD3797">
        <w:rPr>
          <w:rFonts w:hint="eastAsia"/>
          <w:b/>
          <w:bCs/>
        </w:rPr>
        <w:t>Modifica la ley N</w:t>
      </w:r>
      <w:r w:rsidRPr="00DD3797">
        <w:rPr>
          <w:rFonts w:hint="eastAsia"/>
          <w:b/>
          <w:bCs/>
        </w:rPr>
        <w:t>°</w:t>
      </w:r>
      <w:r w:rsidRPr="00DD3797">
        <w:rPr>
          <w:rFonts w:hint="eastAsia"/>
          <w:b/>
          <w:bCs/>
        </w:rPr>
        <w:t xml:space="preserve"> 18.290, de</w:t>
      </w:r>
      <w:r>
        <w:rPr>
          <w:b/>
          <w:bCs/>
        </w:rPr>
        <w:t xml:space="preserve"> </w:t>
      </w:r>
      <w:r w:rsidRPr="00DD3797">
        <w:rPr>
          <w:rFonts w:hint="eastAsia"/>
          <w:b/>
          <w:bCs/>
        </w:rPr>
        <w:t>Tr</w:t>
      </w:r>
      <w:r>
        <w:rPr>
          <w:b/>
          <w:bCs/>
        </w:rPr>
        <w:t>á</w:t>
      </w:r>
      <w:r w:rsidRPr="00DD3797">
        <w:rPr>
          <w:rFonts w:hint="eastAsia"/>
          <w:b/>
          <w:bCs/>
        </w:rPr>
        <w:t>nsito, para extender la vigencia de las cuotas de transporte contenidas en</w:t>
      </w:r>
      <w:r>
        <w:rPr>
          <w:b/>
          <w:bCs/>
        </w:rPr>
        <w:t xml:space="preserve"> </w:t>
      </w:r>
      <w:r w:rsidRPr="00DD3797">
        <w:rPr>
          <w:rFonts w:hint="eastAsia"/>
          <w:b/>
          <w:bCs/>
        </w:rPr>
        <w:t>los</w:t>
      </w:r>
      <w:r>
        <w:rPr>
          <w:rFonts w:hint="eastAsia"/>
          <w:b/>
          <w:bCs/>
        </w:rPr>
        <w:t xml:space="preserve"> </w:t>
      </w:r>
      <w:r w:rsidRPr="00DD3797">
        <w:rPr>
          <w:rFonts w:hint="eastAsia"/>
          <w:b/>
          <w:bCs/>
        </w:rPr>
        <w:t>medios</w:t>
      </w:r>
      <w:r>
        <w:rPr>
          <w:rFonts w:hint="eastAsia"/>
          <w:b/>
          <w:bCs/>
        </w:rPr>
        <w:t xml:space="preserve"> </w:t>
      </w:r>
      <w:r w:rsidRPr="00DD3797">
        <w:rPr>
          <w:rFonts w:hint="eastAsia"/>
          <w:b/>
          <w:bCs/>
        </w:rPr>
        <w:t>de</w:t>
      </w:r>
      <w:r>
        <w:rPr>
          <w:rFonts w:hint="eastAsia"/>
          <w:b/>
          <w:bCs/>
        </w:rPr>
        <w:t xml:space="preserve"> </w:t>
      </w:r>
      <w:r w:rsidRPr="00DD3797">
        <w:rPr>
          <w:rFonts w:hint="eastAsia"/>
          <w:b/>
          <w:bCs/>
        </w:rPr>
        <w:t>acceso</w:t>
      </w:r>
      <w:r>
        <w:rPr>
          <w:rFonts w:hint="eastAsia"/>
          <w:b/>
          <w:bCs/>
        </w:rPr>
        <w:t xml:space="preserve"> </w:t>
      </w:r>
      <w:r w:rsidRPr="00DD3797">
        <w:rPr>
          <w:rFonts w:hint="eastAsia"/>
          <w:b/>
          <w:bCs/>
        </w:rPr>
        <w:t>a</w:t>
      </w:r>
      <w:r>
        <w:rPr>
          <w:rFonts w:hint="eastAsia"/>
          <w:b/>
          <w:bCs/>
        </w:rPr>
        <w:t xml:space="preserve"> </w:t>
      </w:r>
      <w:r w:rsidRPr="00DD3797">
        <w:rPr>
          <w:rFonts w:hint="eastAsia"/>
          <w:b/>
          <w:bCs/>
        </w:rPr>
        <w:t>los</w:t>
      </w:r>
      <w:r>
        <w:rPr>
          <w:rFonts w:hint="eastAsia"/>
          <w:b/>
          <w:bCs/>
        </w:rPr>
        <w:t xml:space="preserve"> </w:t>
      </w:r>
      <w:r w:rsidRPr="00DD3797">
        <w:rPr>
          <w:rFonts w:hint="eastAsia"/>
          <w:b/>
          <w:bCs/>
        </w:rPr>
        <w:t>sistemas</w:t>
      </w:r>
      <w:r>
        <w:rPr>
          <w:rFonts w:hint="eastAsia"/>
          <w:b/>
          <w:bCs/>
        </w:rPr>
        <w:t xml:space="preserve"> </w:t>
      </w:r>
      <w:r w:rsidRPr="00DD3797">
        <w:rPr>
          <w:rFonts w:hint="eastAsia"/>
          <w:b/>
          <w:bCs/>
        </w:rPr>
        <w:t>de</w:t>
      </w:r>
      <w:r>
        <w:rPr>
          <w:rFonts w:hint="eastAsia"/>
          <w:b/>
          <w:bCs/>
        </w:rPr>
        <w:t xml:space="preserve"> </w:t>
      </w:r>
      <w:r w:rsidRPr="00DD3797">
        <w:rPr>
          <w:rFonts w:hint="eastAsia"/>
          <w:b/>
          <w:bCs/>
        </w:rPr>
        <w:t>transporte</w:t>
      </w:r>
      <w:r>
        <w:rPr>
          <w:rFonts w:hint="eastAsia"/>
          <w:b/>
          <w:bCs/>
        </w:rPr>
        <w:t xml:space="preserve"> </w:t>
      </w:r>
      <w:r w:rsidRPr="00DD3797">
        <w:rPr>
          <w:rFonts w:hint="eastAsia"/>
          <w:b/>
          <w:bCs/>
        </w:rPr>
        <w:t>p</w:t>
      </w:r>
      <w:r>
        <w:rPr>
          <w:b/>
          <w:bCs/>
        </w:rPr>
        <w:t>ú</w:t>
      </w:r>
      <w:r w:rsidRPr="00DD3797">
        <w:rPr>
          <w:rFonts w:hint="eastAsia"/>
          <w:b/>
          <w:bCs/>
        </w:rPr>
        <w:t>blico</w:t>
      </w:r>
      <w:r>
        <w:rPr>
          <w:rFonts w:hint="eastAsia"/>
          <w:b/>
          <w:bCs/>
        </w:rPr>
        <w:t xml:space="preserve"> </w:t>
      </w:r>
      <w:r w:rsidRPr="00DD3797">
        <w:rPr>
          <w:rFonts w:hint="eastAsia"/>
          <w:b/>
          <w:bCs/>
        </w:rPr>
        <w:t>remunerado</w:t>
      </w:r>
      <w:r>
        <w:rPr>
          <w:rFonts w:hint="eastAsia"/>
          <w:b/>
          <w:bCs/>
        </w:rPr>
        <w:t xml:space="preserve"> </w:t>
      </w:r>
      <w:r w:rsidRPr="00DD3797">
        <w:rPr>
          <w:rFonts w:hint="eastAsia"/>
          <w:b/>
          <w:bCs/>
        </w:rPr>
        <w:t>de</w:t>
      </w:r>
      <w:r>
        <w:rPr>
          <w:b/>
          <w:bCs/>
        </w:rPr>
        <w:t xml:space="preserve"> </w:t>
      </w:r>
      <w:r w:rsidRPr="00DD3797">
        <w:rPr>
          <w:rFonts w:hint="eastAsia"/>
          <w:b/>
          <w:bCs/>
        </w:rPr>
        <w:t>pasajeros</w:t>
      </w:r>
    </w:p>
    <w:p w:rsidR="00DD3797" w:rsidRDefault="00DD3797" w:rsidP="00DD3797">
      <w:pPr>
        <w:spacing w:line="360" w:lineRule="auto"/>
        <w:jc w:val="center"/>
        <w:rPr>
          <w:b/>
          <w:bCs/>
        </w:rPr>
      </w:pPr>
    </w:p>
    <w:p w:rsidR="00DD3797" w:rsidRDefault="00DD3797" w:rsidP="00DD3797">
      <w:pPr>
        <w:spacing w:line="360" w:lineRule="auto"/>
        <w:jc w:val="center"/>
        <w:rPr>
          <w:b/>
          <w:bCs/>
        </w:rPr>
      </w:pPr>
      <w:r>
        <w:rPr>
          <w:b/>
          <w:bCs/>
        </w:rPr>
        <w:t>Boletín N° 12741-15</w:t>
      </w:r>
    </w:p>
    <w:p w:rsidR="00DD3797" w:rsidRDefault="00DD3797" w:rsidP="00DD3797">
      <w:pPr>
        <w:spacing w:line="360" w:lineRule="auto"/>
        <w:jc w:val="center"/>
        <w:rPr>
          <w:b/>
          <w:bCs/>
        </w:rPr>
      </w:pPr>
    </w:p>
    <w:p w:rsidR="00000000" w:rsidRDefault="008158FA">
      <w:pPr>
        <w:jc w:val="both"/>
      </w:pPr>
      <w:r>
        <w:rPr>
          <w:b/>
          <w:bCs/>
        </w:rPr>
        <w:t>I. Las cuotas de caducidad en el Transantiago.</w:t>
      </w:r>
    </w:p>
    <w:p w:rsidR="00000000" w:rsidRDefault="008158FA">
      <w:pPr>
        <w:jc w:val="both"/>
        <w:rPr>
          <w:b/>
          <w:bCs/>
        </w:rPr>
      </w:pPr>
    </w:p>
    <w:p w:rsidR="00000000" w:rsidRDefault="008158FA">
      <w:pPr>
        <w:spacing w:line="480" w:lineRule="auto"/>
        <w:jc w:val="both"/>
      </w:pPr>
      <w:r>
        <w:rPr>
          <w:rFonts w:cs="Bookman Old Style"/>
        </w:rPr>
        <w:t>Hace más de 10 años, nuestro país vivió un proceso de modernización del transporte en l</w:t>
      </w:r>
      <w:r>
        <w:rPr>
          <w:rFonts w:cs="Bookman Old Style"/>
        </w:rPr>
        <w:t xml:space="preserve">a Región Metropolitana. </w:t>
      </w:r>
      <w:proofErr w:type="gramStart"/>
      <w:r>
        <w:rPr>
          <w:rFonts w:cs="Bookman Old Style"/>
        </w:rPr>
        <w:t>Las micros amarillas</w:t>
      </w:r>
      <w:proofErr w:type="gramEnd"/>
      <w:r>
        <w:rPr>
          <w:rFonts w:cs="Bookman Old Style"/>
        </w:rPr>
        <w:t xml:space="preserve"> fueron remplazadas por buses modernos y menos contaminantes, y el Metro de Santiago se volvió el eje central articulador de este sistema. Dentro de los cambios que implicó este proceso, se eliminó el pago de pas</w:t>
      </w:r>
      <w:r>
        <w:rPr>
          <w:rFonts w:cs="Bookman Old Style"/>
        </w:rPr>
        <w:t>ajes con efectivo, y se implementó un sistema de pago electrónico a través de una tarjeta de prepago -</w:t>
      </w:r>
      <w:proofErr w:type="spellStart"/>
      <w:r>
        <w:rPr>
          <w:rFonts w:cs="Bookman Old Style"/>
        </w:rPr>
        <w:t>Multivía</w:t>
      </w:r>
      <w:proofErr w:type="spellEnd"/>
      <w:r>
        <w:rPr>
          <w:rFonts w:cs="Bookman Old Style"/>
        </w:rPr>
        <w:t xml:space="preserve"> en los primeros años, Bip! en la actualidad-, que permite acceder a las </w:t>
      </w:r>
      <w:proofErr w:type="spellStart"/>
      <w:r>
        <w:rPr>
          <w:rFonts w:cs="Bookman Old Style"/>
        </w:rPr>
        <w:t>lineas</w:t>
      </w:r>
      <w:proofErr w:type="spellEnd"/>
      <w:r>
        <w:rPr>
          <w:rFonts w:cs="Bookman Old Style"/>
        </w:rPr>
        <w:t xml:space="preserve"> del Metro, buses troncales y buses alimentadores del Transantiago.</w:t>
      </w:r>
      <w:r>
        <w:rPr>
          <w:rFonts w:cs="Bookman Old Style"/>
        </w:rPr>
        <w:t xml:space="preserve"> </w:t>
      </w:r>
    </w:p>
    <w:p w:rsidR="00000000" w:rsidRDefault="008158FA">
      <w:pPr>
        <w:spacing w:line="480" w:lineRule="auto"/>
        <w:jc w:val="both"/>
      </w:pPr>
      <w:r>
        <w:rPr>
          <w:rFonts w:cs="Bookman Old Style"/>
        </w:rPr>
        <w:t>Este nuevo sistema de pago del transporte público se encuentra regulado por Resolución Exenta N</w:t>
      </w:r>
      <w:proofErr w:type="gramStart"/>
      <w:r>
        <w:rPr>
          <w:rFonts w:cs="Bookman Old Style"/>
        </w:rPr>
        <w:t>.º</w:t>
      </w:r>
      <w:proofErr w:type="gramEnd"/>
      <w:r>
        <w:rPr>
          <w:rFonts w:cs="Bookman Old Style"/>
        </w:rPr>
        <w:t xml:space="preserve"> 3107, del Ministerio de Transporte, del 17 de diciembre del 2013, que aprueba el procedimiento de uso de la tarjeta Bip!, siendo el pilar fundamental sobre </w:t>
      </w:r>
      <w:r>
        <w:rPr>
          <w:rFonts w:cs="Bookman Old Style"/>
        </w:rPr>
        <w:t>el cual se estructura este sistema de pago, las denominadas “cuotas de transporte”.</w:t>
      </w:r>
    </w:p>
    <w:p w:rsidR="00000000" w:rsidRDefault="008158FA">
      <w:pPr>
        <w:spacing w:line="480" w:lineRule="auto"/>
        <w:jc w:val="both"/>
      </w:pPr>
      <w:r>
        <w:rPr>
          <w:rFonts w:cs="Bookman Old Style"/>
        </w:rPr>
        <w:t>Las cuotas de transporte son unidades contables en las que se registra el valor contenido en cada Tarjeta Bip!, para ser utilizadas exclusivamente para el pago de las tarif</w:t>
      </w:r>
      <w:r>
        <w:rPr>
          <w:rFonts w:cs="Bookman Old Style"/>
        </w:rPr>
        <w:t>as del Transantiago. Dichas cuotas de transporte son almacenadas en la Tarjeta Bip</w:t>
      </w:r>
      <w:proofErr w:type="gramStart"/>
      <w:r>
        <w:rPr>
          <w:rFonts w:cs="Bookman Old Style"/>
        </w:rPr>
        <w:t>!.</w:t>
      </w:r>
      <w:proofErr w:type="gramEnd"/>
      <w:r>
        <w:rPr>
          <w:rFonts w:cs="Bookman Old Style"/>
        </w:rPr>
        <w:t xml:space="preserve"> Es pertinente destacar que una cuota de transporte equivale a un peso chileno, y que el saldo de la tarjeta Bip! se encuentra expresado en cuotas de transportes y no en di</w:t>
      </w:r>
      <w:r>
        <w:rPr>
          <w:rFonts w:cs="Bookman Old Style"/>
        </w:rPr>
        <w:t>nero.</w:t>
      </w:r>
    </w:p>
    <w:p w:rsidR="00000000" w:rsidRDefault="008158FA">
      <w:pPr>
        <w:spacing w:line="480" w:lineRule="auto"/>
        <w:jc w:val="both"/>
      </w:pPr>
      <w:r>
        <w:rPr>
          <w:rFonts w:cs="Bookman Old Style"/>
        </w:rPr>
        <w:t>Así, para el funcionamiento del sistema, se prevé que el usuario realice</w:t>
      </w:r>
      <w:r w:rsidR="00DD3797">
        <w:rPr>
          <w:rFonts w:cs="Bookman Old Style"/>
        </w:rPr>
        <w:t xml:space="preserve"> </w:t>
      </w:r>
      <w:r>
        <w:rPr>
          <w:rFonts w:cs="Bookman Old Style"/>
        </w:rPr>
        <w:t>una carga de cuotas de transporte en su tarjeta Bip! en alguno de los emisores o canales de distribución autorizados por Metro. De esta forma, el usuario podrá acceder al siste</w:t>
      </w:r>
      <w:r>
        <w:rPr>
          <w:rFonts w:cs="Bookman Old Style"/>
        </w:rPr>
        <w:t>ma de transporte, acercando su tarjeta Bip! a los torniquetes dispuestos para tal efecto.</w:t>
      </w:r>
    </w:p>
    <w:p w:rsidR="00000000" w:rsidRDefault="008158FA">
      <w:pPr>
        <w:spacing w:line="480" w:lineRule="auto"/>
        <w:jc w:val="both"/>
      </w:pPr>
      <w:r>
        <w:rPr>
          <w:rFonts w:cs="Bookman Old Style"/>
        </w:rPr>
        <w:lastRenderedPageBreak/>
        <w:t>Si bien, la tarjeta Bip! Tiene una vigencia indefinida, las cuotas de transporte asociadas a ellas no. La pérdida de vigencia de las cuotas de transporte viene dada p</w:t>
      </w:r>
      <w:r>
        <w:rPr>
          <w:rFonts w:cs="Bookman Old Style"/>
        </w:rPr>
        <w:t xml:space="preserve">or la suspensión o la caducidad. (i) Suspensión de las cuotas: si ha transcurrido más de un año desde la última carga o uso de la tarjeta, sin que ésta sea usada o cargada, las cuotas de transporte contenidas en la respectiva tarjeta, quedarán suspendidas </w:t>
      </w:r>
      <w:r>
        <w:rPr>
          <w:rFonts w:cs="Bookman Old Style"/>
        </w:rPr>
        <w:t>y no podrán ser utilizadas para pagar los servicios de transporte a menos que el usuario realice una nueva carga dentro del año siguiente a la fecha de suspensión, en cuyo caso las cuotas de transporte se reactivarán. (</w:t>
      </w:r>
      <w:proofErr w:type="spellStart"/>
      <w:r>
        <w:rPr>
          <w:rFonts w:cs="Bookman Old Style"/>
        </w:rPr>
        <w:t>ii</w:t>
      </w:r>
      <w:proofErr w:type="spellEnd"/>
      <w:r>
        <w:rPr>
          <w:rFonts w:cs="Bookman Old Style"/>
        </w:rPr>
        <w:t>) Caducidad:</w:t>
      </w:r>
      <w:r w:rsidR="00DD3797">
        <w:rPr>
          <w:rFonts w:cs="Bookman Old Style"/>
        </w:rPr>
        <w:t xml:space="preserve"> </w:t>
      </w:r>
      <w:r>
        <w:rPr>
          <w:rFonts w:cs="Bookman Old Style"/>
        </w:rPr>
        <w:t>Si han transcurrido m</w:t>
      </w:r>
      <w:r>
        <w:rPr>
          <w:rFonts w:cs="Bookman Old Style"/>
        </w:rPr>
        <w:t>ás de dos años contados desde la última carga o uso de la tarjeta, se producirá la caducidad de las cuotas de transporte contenidas en la respectiva tarjeta, las que quedarán irrevocablemente vencidas, no pudiendo ser utilizadas para el pago de los servici</w:t>
      </w:r>
      <w:r>
        <w:rPr>
          <w:rFonts w:cs="Bookman Old Style"/>
        </w:rPr>
        <w:t>os de transporte del Transantiago. Caducada las cuotas de transporte, estas no podrán ser transferidas a otras tarjetas o reembolsadas al usuario.</w:t>
      </w:r>
    </w:p>
    <w:p w:rsidR="00000000" w:rsidRDefault="008158FA">
      <w:pPr>
        <w:spacing w:line="480" w:lineRule="auto"/>
        <w:jc w:val="both"/>
        <w:rPr>
          <w:rFonts w:cs="Bookman Old Style"/>
        </w:rPr>
      </w:pPr>
    </w:p>
    <w:p w:rsidR="00000000" w:rsidRDefault="008158FA">
      <w:pPr>
        <w:spacing w:line="480" w:lineRule="auto"/>
        <w:jc w:val="both"/>
      </w:pPr>
      <w:r>
        <w:rPr>
          <w:rFonts w:cs="Bookman Old Style"/>
          <w:b/>
          <w:bCs/>
        </w:rPr>
        <w:t>II. Considerando:</w:t>
      </w:r>
    </w:p>
    <w:p w:rsidR="00000000" w:rsidRDefault="008158FA">
      <w:pPr>
        <w:pStyle w:val="ListParagraph"/>
        <w:numPr>
          <w:ilvl w:val="0"/>
          <w:numId w:val="1"/>
        </w:numPr>
        <w:spacing w:line="480" w:lineRule="auto"/>
        <w:jc w:val="both"/>
      </w:pPr>
      <w:r>
        <w:rPr>
          <w:rFonts w:cs="Bookman Old Style"/>
        </w:rPr>
        <w:t>Que, al Ministerio de Transporte y Telecomunicaciones le corresponde un rol fiscalizador s</w:t>
      </w:r>
      <w:r>
        <w:rPr>
          <w:rFonts w:cs="Bookman Old Style"/>
        </w:rPr>
        <w:t>obre estos sectores, debiendo controlar y supervigilar el funcionamiento de los servicios públicos de telecomunicaciones y transporte, velando por la protección de los derechos de los usuarios. Lo anterior con especial ahínco si consideramos que estamos an</w:t>
      </w:r>
      <w:r>
        <w:rPr>
          <w:rFonts w:cs="Bookman Old Style"/>
        </w:rPr>
        <w:t>te servicios masivos que tienen gran penetración en la población, donde los usuarios suscriben contratos con los proveedores del servicio sin tener la posibilidad de negociar términos y condiciones de dichos contratos, cuestión que resulta ser tierra férti</w:t>
      </w:r>
      <w:r>
        <w:rPr>
          <w:rFonts w:cs="Bookman Old Style"/>
        </w:rPr>
        <w:t>l para vulneraciones de sus derechos o abusos.</w:t>
      </w:r>
    </w:p>
    <w:p w:rsidR="00DD3797" w:rsidRPr="00DD3797" w:rsidRDefault="008158FA">
      <w:pPr>
        <w:pStyle w:val="ListParagraph"/>
        <w:numPr>
          <w:ilvl w:val="0"/>
          <w:numId w:val="1"/>
        </w:numPr>
        <w:spacing w:line="480" w:lineRule="auto"/>
        <w:jc w:val="both"/>
      </w:pPr>
      <w:r>
        <w:rPr>
          <w:rFonts w:cs="Bookman Old Style"/>
        </w:rPr>
        <w:t xml:space="preserve">Que, en lo que refiere al sistema de transporte Transantiago, donde existen </w:t>
      </w:r>
      <w:proofErr w:type="spellStart"/>
      <w:r>
        <w:rPr>
          <w:rFonts w:cs="Bookman Old Style"/>
        </w:rPr>
        <w:t>al rededor</w:t>
      </w:r>
      <w:proofErr w:type="spellEnd"/>
      <w:r>
        <w:rPr>
          <w:rFonts w:cs="Bookman Old Style"/>
        </w:rPr>
        <w:t xml:space="preserve"> de 30.000.000 tarjetas Bip! emitidas</w:t>
      </w:r>
      <w:r>
        <w:rPr>
          <w:rStyle w:val="Refdenotaalpie1"/>
          <w:rFonts w:cs="Bookman Old Style"/>
        </w:rPr>
        <w:footnoteReference w:id="1"/>
      </w:r>
      <w:r>
        <w:rPr>
          <w:rFonts w:cs="Bookman Old Style"/>
        </w:rPr>
        <w:t xml:space="preserve">, utilizándose solamente </w:t>
      </w:r>
      <w:proofErr w:type="spellStart"/>
      <w:r>
        <w:rPr>
          <w:rFonts w:cs="Bookman Old Style"/>
        </w:rPr>
        <w:t>al rededor</w:t>
      </w:r>
      <w:proofErr w:type="spellEnd"/>
      <w:r>
        <w:rPr>
          <w:rFonts w:cs="Bookman Old Style"/>
        </w:rPr>
        <w:t xml:space="preserve"> de 5.000.000 tarjetas Bip</w:t>
      </w:r>
      <w:proofErr w:type="gramStart"/>
      <w:r>
        <w:rPr>
          <w:rFonts w:cs="Bookman Old Style"/>
        </w:rPr>
        <w:t>!.</w:t>
      </w:r>
      <w:proofErr w:type="gramEnd"/>
      <w:r>
        <w:rPr>
          <w:rFonts w:cs="Bookman Old Style"/>
        </w:rPr>
        <w:t xml:space="preserve"> </w:t>
      </w:r>
    </w:p>
    <w:p w:rsidR="00000000" w:rsidRDefault="00DD3797" w:rsidP="00DD3797">
      <w:pPr>
        <w:pStyle w:val="ListParagraph"/>
        <w:spacing w:line="480" w:lineRule="auto"/>
        <w:jc w:val="both"/>
      </w:pPr>
      <w:r>
        <w:rPr>
          <w:rFonts w:cs="Bookman Old Style" w:hint="eastAsia"/>
        </w:rPr>
        <w:br w:type="page"/>
      </w:r>
      <w:r w:rsidR="008158FA">
        <w:rPr>
          <w:rFonts w:cs="Bookman Old Style"/>
        </w:rPr>
        <w:lastRenderedPageBreak/>
        <w:t>Es decir, existen a l</w:t>
      </w:r>
      <w:r w:rsidR="008158FA">
        <w:rPr>
          <w:rFonts w:cs="Bookman Old Style"/>
        </w:rPr>
        <w:t>o menos 25.000.000 tarjetas Bip! que no se utilizan y que potencialmente podrían quedar inactivas, caducando las cuotas de transporte en ellas contenidas.</w:t>
      </w:r>
    </w:p>
    <w:p w:rsidR="00000000" w:rsidRDefault="008158FA">
      <w:pPr>
        <w:pStyle w:val="ListParagraph"/>
        <w:numPr>
          <w:ilvl w:val="0"/>
          <w:numId w:val="1"/>
        </w:numPr>
        <w:spacing w:line="480" w:lineRule="auto"/>
        <w:jc w:val="both"/>
      </w:pPr>
      <w:r>
        <w:rPr>
          <w:rFonts w:cs="Bookman Old Style"/>
        </w:rPr>
        <w:t>A mayor abundamiento, Transantiago retiene en promedio 1.200 millones de pesos al año, proveniente de</w:t>
      </w:r>
      <w:r>
        <w:rPr>
          <w:rFonts w:cs="Bookman Old Style"/>
        </w:rPr>
        <w:t xml:space="preserve"> tarjetas Bip! caducadas. Si bien, la cifra puede resultar marginal para el sistema de transporte -ya que estos montos sólo constituyen el 0,25% de total de los ingresos del sistema-, sin duda alguna son de gran importancia para los usuarios. En cuanto a l</w:t>
      </w:r>
      <w:r>
        <w:rPr>
          <w:rFonts w:cs="Bookman Old Style"/>
        </w:rPr>
        <w:t>os servicios de telecomunicaciones de prepago, no existe información disponible sobre las cantidades anuales que retienen las compañías por conceptos de saldos caducados.</w:t>
      </w:r>
    </w:p>
    <w:p w:rsidR="00000000" w:rsidRDefault="008158FA">
      <w:pPr>
        <w:numPr>
          <w:ilvl w:val="0"/>
          <w:numId w:val="1"/>
        </w:numPr>
        <w:spacing w:line="480" w:lineRule="auto"/>
        <w:jc w:val="both"/>
      </w:pPr>
      <w:r>
        <w:rPr>
          <w:rFonts w:cs="Bookman Old Style"/>
        </w:rPr>
        <w:t>Que, en la actualidad los usuarios sólo tienen derecho a ser informados oportunamente</w:t>
      </w:r>
      <w:r>
        <w:rPr>
          <w:rFonts w:cs="Bookman Old Style"/>
        </w:rPr>
        <w:t xml:space="preserve"> de las condiciones del servicio y los plazos asociados a la caducidad.</w:t>
      </w:r>
      <w:r w:rsidR="00DD3797">
        <w:rPr>
          <w:rFonts w:cs="Bookman Old Style"/>
        </w:rPr>
        <w:t xml:space="preserve"> </w:t>
      </w:r>
      <w:r>
        <w:rPr>
          <w:rFonts w:cs="Bookman Old Style"/>
        </w:rPr>
        <w:t xml:space="preserve"> Es pertinente destacar que, si bien en materia de transporte, las cuotas caducan luego de dos años de no uso de la tarjeta Bip!, cuestión establecida de dicha forma por el Ministerio</w:t>
      </w:r>
      <w:r>
        <w:rPr>
          <w:rFonts w:cs="Bookman Old Style"/>
        </w:rPr>
        <w:t xml:space="preserve"> de Transporte y Telecomunicaciones, en virtud de resolución exenta Nº 3107.</w:t>
      </w:r>
    </w:p>
    <w:p w:rsidR="00000000" w:rsidRDefault="008158FA">
      <w:pPr>
        <w:numPr>
          <w:ilvl w:val="0"/>
          <w:numId w:val="1"/>
        </w:numPr>
        <w:spacing w:line="480" w:lineRule="auto"/>
        <w:jc w:val="both"/>
      </w:pPr>
      <w:r>
        <w:rPr>
          <w:rFonts w:cs="Bookman Old Style"/>
        </w:rPr>
        <w:t>En atención a lo anteriormente expuesto, es que se vuelve necesario revisar la regulación vigente, a fin de adaptar la misma a los nuevos paradigmas y necesidades de los usuarios,</w:t>
      </w:r>
      <w:r>
        <w:rPr>
          <w:rFonts w:cs="Bookman Old Style"/>
        </w:rPr>
        <w:t xml:space="preserve"> teniendo siempre en vista la adecuada protección de los derechos de éstos. Es por esto, que el presente proyecto de ley tiene por objeto poner fin a la caducidad de las cuotas de transporte y reconocer que los fondos consignados para el uso de dichos serv</w:t>
      </w:r>
      <w:r>
        <w:rPr>
          <w:rFonts w:cs="Bookman Old Style"/>
        </w:rPr>
        <w:t>icios, pertenecen a los usuarios, resultando impropio que estos puedan ser apropiados por los proveedores de los servicios.</w:t>
      </w:r>
    </w:p>
    <w:p w:rsidR="00000000" w:rsidRDefault="008158FA">
      <w:pPr>
        <w:spacing w:line="480" w:lineRule="auto"/>
        <w:ind w:left="720"/>
        <w:jc w:val="both"/>
      </w:pPr>
    </w:p>
    <w:p w:rsidR="00000000" w:rsidRDefault="00DD3797" w:rsidP="00DD3797">
      <w:pPr>
        <w:spacing w:line="480" w:lineRule="auto"/>
        <w:ind w:left="720"/>
        <w:jc w:val="both"/>
      </w:pPr>
      <w:r>
        <w:rPr>
          <w:rFonts w:cs="Bookman Old Style" w:hint="eastAsia"/>
          <w:b/>
          <w:bCs/>
        </w:rPr>
        <w:br w:type="page"/>
      </w:r>
      <w:r w:rsidR="008158FA">
        <w:rPr>
          <w:rFonts w:cs="Bookman Old Style"/>
          <w:b/>
          <w:bCs/>
        </w:rPr>
        <w:lastRenderedPageBreak/>
        <w:t>III . Proyecto de Ley.</w:t>
      </w:r>
    </w:p>
    <w:p w:rsidR="00000000" w:rsidRDefault="008158FA">
      <w:pPr>
        <w:spacing w:line="480" w:lineRule="auto"/>
        <w:jc w:val="both"/>
      </w:pPr>
      <w:r>
        <w:rPr>
          <w:rFonts w:cs="Bookman Old Style"/>
        </w:rPr>
        <w:t xml:space="preserve">Artículo único: Agréguese un nuevo inciso tercero en el artículo 88 bis del Decreto con Fuerza de Ley </w:t>
      </w:r>
      <w:r>
        <w:rPr>
          <w:rFonts w:cs="Bookman Old Style"/>
        </w:rPr>
        <w:t>N°1 de marzo del 2019, del Ministerio de Transporte y Telecomunicaciones, que fija el texto refundido, coordinado y sistematizado de la ley de tránsito, pasando el actual 3° a 4° y así sucesivamente, de acuerdo al siguiente texto:</w:t>
      </w:r>
    </w:p>
    <w:p w:rsidR="00000000" w:rsidRDefault="008158FA">
      <w:pPr>
        <w:spacing w:line="480" w:lineRule="auto"/>
        <w:jc w:val="both"/>
      </w:pPr>
      <w:r>
        <w:rPr>
          <w:rFonts w:cs="Bookman Old Style"/>
          <w:b/>
          <w:bCs/>
          <w:i/>
          <w:iCs/>
        </w:rPr>
        <w:t>Todo instrumento o mecani</w:t>
      </w:r>
      <w:r>
        <w:rPr>
          <w:rFonts w:cs="Bookman Old Style"/>
          <w:b/>
          <w:bCs/>
          <w:i/>
          <w:iCs/>
        </w:rPr>
        <w:t>smo que permita el acceso al transporte público remunerado,</w:t>
      </w:r>
      <w:r w:rsidR="00DD3797">
        <w:rPr>
          <w:rFonts w:cs="Bookman Old Style"/>
          <w:b/>
          <w:bCs/>
          <w:i/>
          <w:iCs/>
        </w:rPr>
        <w:t xml:space="preserve"> </w:t>
      </w:r>
      <w:r>
        <w:rPr>
          <w:rFonts w:cs="Bookman Old Style"/>
          <w:b/>
          <w:bCs/>
          <w:i/>
          <w:iCs/>
        </w:rPr>
        <w:t>deberá conservar los saldos o cuotas de transporte en ellos contenido, sin que puedan caducar estos, o perder su vigencia, por el sólo transcurso del tiempo o la inactividad de dichos instrumento</w:t>
      </w:r>
      <w:r>
        <w:rPr>
          <w:rFonts w:cs="Bookman Old Style"/>
          <w:b/>
          <w:bCs/>
          <w:i/>
          <w:iCs/>
        </w:rPr>
        <w:t xml:space="preserve">s o mecanismos. </w:t>
      </w:r>
    </w:p>
    <w:p w:rsidR="00000000" w:rsidRDefault="008158FA">
      <w:pPr>
        <w:spacing w:line="480" w:lineRule="auto"/>
        <w:jc w:val="both"/>
        <w:rPr>
          <w:rFonts w:cs="Bookman Old Style"/>
          <w:b/>
          <w:bCs/>
          <w:i/>
          <w:iCs/>
        </w:rPr>
      </w:pPr>
    </w:p>
    <w:p w:rsidR="00000000" w:rsidRDefault="008158FA">
      <w:pPr>
        <w:spacing w:line="480" w:lineRule="auto"/>
        <w:jc w:val="center"/>
        <w:rPr>
          <w:rFonts w:cs="Bookman Old Style"/>
          <w:b/>
          <w:bCs/>
          <w:i/>
          <w:iCs/>
        </w:rPr>
      </w:pPr>
    </w:p>
    <w:p w:rsidR="00000000" w:rsidRDefault="008158FA">
      <w:pPr>
        <w:spacing w:line="480" w:lineRule="auto"/>
        <w:jc w:val="center"/>
      </w:pPr>
      <w:r>
        <w:rPr>
          <w:rFonts w:cs="Bookman Old Style"/>
          <w:b/>
          <w:bCs/>
        </w:rPr>
        <w:t>PATRICIO MELERO</w:t>
      </w:r>
    </w:p>
    <w:p w:rsidR="008158FA" w:rsidRDefault="008158FA">
      <w:pPr>
        <w:spacing w:line="480" w:lineRule="auto"/>
        <w:jc w:val="center"/>
      </w:pPr>
      <w:r>
        <w:rPr>
          <w:rFonts w:cs="Bookman Old Style"/>
          <w:b/>
          <w:bCs/>
        </w:rPr>
        <w:t>DIPUTADO.</w:t>
      </w:r>
    </w:p>
    <w:sectPr w:rsidR="008158FA" w:rsidSect="00DD3797">
      <w:pgSz w:w="12242" w:h="20163" w:code="5"/>
      <w:pgMar w:top="2268" w:right="1134" w:bottom="2835"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8FA" w:rsidRDefault="008158FA">
      <w:r>
        <w:separator/>
      </w:r>
    </w:p>
  </w:endnote>
  <w:endnote w:type="continuationSeparator" w:id="0">
    <w:p w:rsidR="008158FA" w:rsidRDefault="008158F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8FA" w:rsidRDefault="008158FA">
      <w:r>
        <w:separator/>
      </w:r>
    </w:p>
  </w:footnote>
  <w:footnote w:type="continuationSeparator" w:id="0">
    <w:p w:rsidR="008158FA" w:rsidRDefault="008158FA">
      <w:r>
        <w:continuationSeparator/>
      </w:r>
    </w:p>
  </w:footnote>
  <w:footnote w:id="1">
    <w:p w:rsidR="00000000" w:rsidRDefault="008158FA">
      <w:pPr>
        <w:pStyle w:val="Textonotapie"/>
      </w:pPr>
      <w:r>
        <w:rPr>
          <w:rStyle w:val="Caracteresdenotaalpie"/>
        </w:rPr>
        <w:footnoteRef/>
      </w:r>
      <w:r>
        <w:tab/>
        <w:t>https://www.emol.com/noticias/Nacional/2017/02/10/844248/Evasion-transacciones-y-tarjetas-bip-La-evolucion-de-las-cifras-del-Transantiago.html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ascii="Bookman Old Style" w:hAnsi="Bookman Old Style" w:cs="Bookman Old Style"/>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3797"/>
    <w:rsid w:val="008158FA"/>
    <w:rsid w:val="00DD379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SimSun" w:hAnsi="Liberation Serif" w:cs="Arial"/>
      <w:kern w:val="2"/>
      <w:sz w:val="24"/>
      <w:szCs w:val="24"/>
      <w:lang w:val="es-CL"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Bookman Old Style" w:hAnsi="Bookman Old Style" w:cs="Bookman Old Style"/>
      <w:b w:val="0"/>
      <w:bCs w:val="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1">
    <w:name w:val="Fuente de párrafo predeter.1"/>
  </w:style>
  <w:style w:type="character" w:customStyle="1" w:styleId="Refdenotaalpie1">
    <w:name w:val="Ref. de nota al pie1"/>
    <w:rPr>
      <w:vertAlign w:val="superscript"/>
    </w:rPr>
  </w:style>
  <w:style w:type="character" w:customStyle="1" w:styleId="Caracteresdenotaalpie">
    <w:name w:val="Caracteres de nota al pie"/>
  </w:style>
  <w:style w:type="character" w:customStyle="1" w:styleId="Refdenotaalpie2">
    <w:name w:val="Ref. de nota al pie2"/>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
    <w:name w:val="Título2"/>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Ttulo1">
    <w:name w:val="Título1"/>
    <w:basedOn w:val="Normal"/>
    <w:next w:val="Textoindependiente"/>
    <w:pPr>
      <w:keepNext/>
      <w:spacing w:before="240" w:after="120"/>
    </w:pPr>
    <w:rPr>
      <w:rFonts w:ascii="Liberation Sans" w:eastAsia="Microsoft YaHei" w:hAnsi="Liberation Sans"/>
      <w:sz w:val="28"/>
      <w:szCs w:val="28"/>
    </w:rPr>
  </w:style>
  <w:style w:type="paragraph" w:customStyle="1" w:styleId="Epgrafe1">
    <w:name w:val="Epígrafe1"/>
    <w:basedOn w:val="Normal"/>
    <w:pPr>
      <w:suppressLineNumbers/>
      <w:spacing w:before="120" w:after="120"/>
    </w:pPr>
    <w:rPr>
      <w:i/>
      <w:iCs/>
    </w:rPr>
  </w:style>
  <w:style w:type="paragraph" w:styleId="Textonotapie">
    <w:name w:val="footnote text"/>
    <w:basedOn w:val="Normal"/>
    <w:pPr>
      <w:suppressLineNumbers/>
      <w:ind w:left="339" w:hanging="339"/>
    </w:pPr>
    <w:rPr>
      <w:sz w:val="20"/>
      <w:szCs w:val="20"/>
    </w:rPr>
  </w:style>
  <w:style w:type="paragraph" w:customStyle="1" w:styleId="ListParagraph">
    <w:name w:val="List Paragraph"/>
    <w:basedOn w:val="Normal"/>
    <w:pPr>
      <w:spacing w:after="20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965</Words>
  <Characters>5310</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CamUDI;Guillermo Diaz Vallejos</dc:creator>
  <cp:lastModifiedBy>Guillermo Diaz Vallejos</cp:lastModifiedBy>
  <cp:revision>2</cp:revision>
  <cp:lastPrinted>1995-11-21T21:41:00Z</cp:lastPrinted>
  <dcterms:created xsi:type="dcterms:W3CDTF">2019-07-01T21:17:00Z</dcterms:created>
  <dcterms:modified xsi:type="dcterms:W3CDTF">2019-07-01T21:17:00Z</dcterms:modified>
</cp:coreProperties>
</file>