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7587" w:rsidRDefault="00A95D2F">
      <w:pPr>
        <w:pStyle w:val="normal0"/>
        <w:widowControl w:val="0"/>
        <w:pBdr>
          <w:top w:val="nil"/>
          <w:left w:val="nil"/>
          <w:bottom w:val="nil"/>
          <w:right w:val="nil"/>
          <w:between w:val="nil"/>
        </w:pBdr>
        <w:spacing w:line="360" w:lineRule="auto"/>
        <w:jc w:val="both"/>
        <w:rPr>
          <w:rFonts w:ascii="Cambria" w:eastAsia="Cambria" w:hAnsi="Cambria" w:cs="Cambria"/>
          <w:b/>
          <w:sz w:val="22"/>
          <w:szCs w:val="22"/>
        </w:rPr>
      </w:pPr>
      <w:r w:rsidRPr="00A95D2F">
        <w:rPr>
          <w:rFonts w:ascii="Cambria" w:eastAsia="Cambria" w:hAnsi="Cambria" w:cs="Cambria"/>
          <w:b/>
          <w:sz w:val="22"/>
          <w:szCs w:val="22"/>
        </w:rPr>
        <w:t>Modifica la ley N° 20.066, que Establece ley de violencia intrafamiliar, y la ley N° 20.609, que Establece medidas contra la discriminación, para sancionar los actos ejecutados en el ámbito familiar o educacional destinados a modificar la orientación sexual y la identidad o expresión de género de los niños, niñas y adolescentes</w:t>
      </w:r>
    </w:p>
    <w:p w:rsidR="00A95D2F" w:rsidRDefault="00A95D2F">
      <w:pPr>
        <w:pStyle w:val="normal0"/>
        <w:widowControl w:val="0"/>
        <w:pBdr>
          <w:top w:val="nil"/>
          <w:left w:val="nil"/>
          <w:bottom w:val="nil"/>
          <w:right w:val="nil"/>
          <w:between w:val="nil"/>
        </w:pBdr>
        <w:spacing w:line="360" w:lineRule="auto"/>
        <w:jc w:val="both"/>
        <w:rPr>
          <w:rFonts w:ascii="Cambria" w:eastAsia="Cambria" w:hAnsi="Cambria" w:cs="Cambria"/>
          <w:b/>
          <w:sz w:val="22"/>
          <w:szCs w:val="22"/>
        </w:rPr>
      </w:pPr>
    </w:p>
    <w:p w:rsidR="00A95D2F" w:rsidRDefault="00A95D2F" w:rsidP="00A95D2F">
      <w:pPr>
        <w:pStyle w:val="normal0"/>
        <w:widowControl w:val="0"/>
        <w:pBdr>
          <w:top w:val="nil"/>
          <w:left w:val="nil"/>
          <w:bottom w:val="nil"/>
          <w:right w:val="nil"/>
          <w:between w:val="nil"/>
        </w:pBdr>
        <w:spacing w:line="360" w:lineRule="auto"/>
        <w:jc w:val="center"/>
        <w:rPr>
          <w:rFonts w:ascii="Cambria" w:eastAsia="Cambria" w:hAnsi="Cambria" w:cs="Cambria"/>
          <w:b/>
          <w:sz w:val="22"/>
          <w:szCs w:val="22"/>
        </w:rPr>
      </w:pPr>
      <w:r>
        <w:rPr>
          <w:rFonts w:ascii="Cambria" w:eastAsia="Cambria" w:hAnsi="Cambria" w:cs="Cambria"/>
          <w:b/>
          <w:sz w:val="22"/>
          <w:szCs w:val="22"/>
        </w:rPr>
        <w:t>Boletín N° 12660-18</w:t>
      </w:r>
    </w:p>
    <w:p w:rsidR="00A95D2F" w:rsidRDefault="00A95D2F">
      <w:pPr>
        <w:pStyle w:val="normal0"/>
        <w:widowControl w:val="0"/>
        <w:pBdr>
          <w:top w:val="nil"/>
          <w:left w:val="nil"/>
          <w:bottom w:val="nil"/>
          <w:right w:val="nil"/>
          <w:between w:val="nil"/>
        </w:pBdr>
        <w:spacing w:line="360" w:lineRule="auto"/>
        <w:jc w:val="both"/>
        <w:rPr>
          <w:rFonts w:ascii="Cambria" w:eastAsia="Cambria" w:hAnsi="Cambria" w:cs="Cambria"/>
          <w:color w:val="000000"/>
          <w:sz w:val="22"/>
          <w:szCs w:val="22"/>
        </w:rPr>
      </w:pPr>
    </w:p>
    <w:p w:rsidR="00AB7587" w:rsidRDefault="006462C3">
      <w:pPr>
        <w:pStyle w:val="normal0"/>
        <w:widowControl w:val="0"/>
        <w:pBdr>
          <w:top w:val="nil"/>
          <w:left w:val="nil"/>
          <w:bottom w:val="nil"/>
          <w:right w:val="nil"/>
          <w:between w:val="nil"/>
        </w:pBdr>
        <w:spacing w:line="360" w:lineRule="auto"/>
        <w:jc w:val="both"/>
        <w:rPr>
          <w:rFonts w:ascii="Cambria" w:eastAsia="Cambria" w:hAnsi="Cambria" w:cs="Cambria"/>
          <w:b/>
          <w:color w:val="000000"/>
          <w:sz w:val="22"/>
          <w:szCs w:val="22"/>
          <w:u w:val="single"/>
        </w:rPr>
      </w:pPr>
      <w:r>
        <w:rPr>
          <w:rFonts w:ascii="Cambria" w:eastAsia="Cambria" w:hAnsi="Cambria" w:cs="Cambria"/>
          <w:b/>
          <w:color w:val="000000"/>
          <w:sz w:val="22"/>
          <w:szCs w:val="22"/>
          <w:u w:val="single"/>
        </w:rPr>
        <w:t>CONSIDERANDO</w:t>
      </w:r>
    </w:p>
    <w:p w:rsidR="00AB7587" w:rsidRDefault="006462C3" w:rsidP="00A95D2F">
      <w:pPr>
        <w:pStyle w:val="normal0"/>
        <w:widowControl w:val="0"/>
        <w:numPr>
          <w:ilvl w:val="0"/>
          <w:numId w:val="5"/>
        </w:numPr>
        <w:pBdr>
          <w:top w:val="nil"/>
          <w:left w:val="nil"/>
          <w:bottom w:val="nil"/>
          <w:right w:val="nil"/>
          <w:between w:val="nil"/>
        </w:pBdr>
        <w:spacing w:line="360" w:lineRule="auto"/>
        <w:ind w:left="1276" w:right="-93"/>
        <w:jc w:val="both"/>
        <w:rPr>
          <w:color w:val="000000"/>
          <w:sz w:val="22"/>
          <w:szCs w:val="22"/>
        </w:rPr>
      </w:pPr>
      <w:r>
        <w:rPr>
          <w:rFonts w:ascii="Cambria" w:eastAsia="Cambria" w:hAnsi="Cambria" w:cs="Cambria"/>
          <w:color w:val="000000"/>
          <w:sz w:val="22"/>
          <w:szCs w:val="22"/>
          <w:highlight w:val="white"/>
        </w:rPr>
        <w:t>El Interés Superior de los niños, niñas y adolescentes es un principio elemental que su</w:t>
      </w:r>
      <w:r>
        <w:rPr>
          <w:rFonts w:ascii="Cambria" w:eastAsia="Cambria" w:hAnsi="Cambria" w:cs="Cambria"/>
          <w:color w:val="000000"/>
          <w:sz w:val="22"/>
          <w:szCs w:val="22"/>
          <w:highlight w:val="white"/>
        </w:rPr>
        <w:t>pone respetar sus derechos y priorizarlos frente a otros derechos o intereses. De este principio se deriva el derecho sustantivo que obliga al Estado</w:t>
      </w:r>
      <w:r w:rsidR="00A95D2F">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 xml:space="preserve"> a garantizar, de manera primordial, el interés superior de los niños, niñas y adolescentes en toda activid</w:t>
      </w:r>
      <w:r>
        <w:rPr>
          <w:rFonts w:ascii="Cambria" w:eastAsia="Cambria" w:hAnsi="Cambria" w:cs="Cambria"/>
          <w:color w:val="000000"/>
          <w:sz w:val="22"/>
          <w:szCs w:val="22"/>
          <w:highlight w:val="white"/>
        </w:rPr>
        <w:t xml:space="preserve">ad legislativa relacionada con ellos. </w:t>
      </w:r>
    </w:p>
    <w:p w:rsidR="00AB7587" w:rsidRDefault="006462C3" w:rsidP="00A95D2F">
      <w:pPr>
        <w:pStyle w:val="normal0"/>
        <w:widowControl w:val="0"/>
        <w:numPr>
          <w:ilvl w:val="0"/>
          <w:numId w:val="5"/>
        </w:numPr>
        <w:pBdr>
          <w:top w:val="nil"/>
          <w:left w:val="nil"/>
          <w:bottom w:val="nil"/>
          <w:right w:val="nil"/>
          <w:between w:val="nil"/>
        </w:pBdr>
        <w:shd w:val="clear" w:color="auto" w:fill="FFFFFF"/>
        <w:spacing w:line="360" w:lineRule="auto"/>
        <w:ind w:left="1276" w:right="-93"/>
        <w:jc w:val="both"/>
        <w:rPr>
          <w:color w:val="000000"/>
          <w:sz w:val="22"/>
          <w:szCs w:val="22"/>
        </w:rPr>
      </w:pPr>
      <w:r>
        <w:rPr>
          <w:rFonts w:ascii="Cambria" w:eastAsia="Cambria" w:hAnsi="Cambria" w:cs="Cambria"/>
          <w:color w:val="000000"/>
          <w:sz w:val="22"/>
          <w:szCs w:val="22"/>
          <w:highlight w:val="white"/>
        </w:rPr>
        <w:t xml:space="preserve">La Convención sobre los Derechos del Niño, adoptada y abierta a la firma y ratificación por la Asamblea General en su resolución 44/25, de 20 de </w:t>
      </w:r>
      <w:r w:rsidR="00A95D2F">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noviembre de 1989, que rige en nuestro país desde el 27 de septiembre de 1990, establece en su artículo 8 lo si</w:t>
      </w:r>
      <w:r>
        <w:rPr>
          <w:rFonts w:ascii="Cambria" w:eastAsia="Cambria" w:hAnsi="Cambria" w:cs="Cambria"/>
          <w:color w:val="000000"/>
          <w:sz w:val="22"/>
          <w:szCs w:val="22"/>
          <w:highlight w:val="white"/>
        </w:rPr>
        <w:t xml:space="preserve">guiente:  </w:t>
      </w:r>
    </w:p>
    <w:p w:rsidR="00AB7587" w:rsidRDefault="006462C3" w:rsidP="00A95D2F">
      <w:pPr>
        <w:pStyle w:val="normal0"/>
        <w:widowControl w:val="0"/>
        <w:pBdr>
          <w:top w:val="nil"/>
          <w:left w:val="nil"/>
          <w:bottom w:val="nil"/>
          <w:right w:val="nil"/>
          <w:between w:val="nil"/>
        </w:pBdr>
        <w:shd w:val="clear" w:color="auto" w:fill="FFFFFF"/>
        <w:spacing w:line="360" w:lineRule="auto"/>
        <w:ind w:left="1276" w:right="-93"/>
        <w:jc w:val="both"/>
        <w:rPr>
          <w:rFonts w:ascii="Cambria" w:eastAsia="Cambria" w:hAnsi="Cambria" w:cs="Cambria"/>
          <w:i/>
          <w:color w:val="000000"/>
          <w:sz w:val="22"/>
          <w:szCs w:val="22"/>
          <w:highlight w:val="white"/>
        </w:rPr>
      </w:pPr>
      <w:r>
        <w:rPr>
          <w:rFonts w:ascii="Cambria" w:eastAsia="Cambria" w:hAnsi="Cambria" w:cs="Cambria"/>
          <w:i/>
          <w:color w:val="000000"/>
          <w:sz w:val="22"/>
          <w:szCs w:val="22"/>
          <w:highlight w:val="white"/>
        </w:rPr>
        <w:t xml:space="preserve">“1. Los Estados Partes se comprometen a respetar el derecho del niño a preservar </w:t>
      </w:r>
      <w:r w:rsidR="00A95D2F">
        <w:rPr>
          <w:rFonts w:ascii="Cambria" w:eastAsia="Cambria" w:hAnsi="Cambria" w:cs="Cambria"/>
          <w:i/>
          <w:color w:val="000000"/>
          <w:sz w:val="22"/>
          <w:szCs w:val="22"/>
          <w:highlight w:val="white"/>
        </w:rPr>
        <w:t xml:space="preserve"> </w:t>
      </w:r>
      <w:r>
        <w:rPr>
          <w:rFonts w:ascii="Cambria" w:eastAsia="Cambria" w:hAnsi="Cambria" w:cs="Cambria"/>
          <w:i/>
          <w:color w:val="000000"/>
          <w:sz w:val="22"/>
          <w:szCs w:val="22"/>
          <w:highlight w:val="white"/>
        </w:rPr>
        <w:t xml:space="preserve">su identidad, incluidos la nacionalidad, el nombre y las relaciones familiares de conformidad con la ley sin injerencias ilícitas. </w:t>
      </w:r>
    </w:p>
    <w:p w:rsidR="00AB7587" w:rsidRDefault="006462C3" w:rsidP="00A95D2F">
      <w:pPr>
        <w:pStyle w:val="normal0"/>
        <w:widowControl w:val="0"/>
        <w:pBdr>
          <w:top w:val="nil"/>
          <w:left w:val="nil"/>
          <w:bottom w:val="nil"/>
          <w:right w:val="nil"/>
          <w:between w:val="nil"/>
        </w:pBdr>
        <w:shd w:val="clear" w:color="auto" w:fill="FFFFFF"/>
        <w:spacing w:line="360" w:lineRule="auto"/>
        <w:ind w:left="1276" w:right="-93"/>
        <w:jc w:val="both"/>
        <w:rPr>
          <w:rFonts w:ascii="Cambria" w:eastAsia="Cambria" w:hAnsi="Cambria" w:cs="Cambria"/>
          <w:i/>
          <w:color w:val="000000"/>
          <w:sz w:val="22"/>
          <w:szCs w:val="22"/>
          <w:highlight w:val="white"/>
        </w:rPr>
      </w:pPr>
      <w:proofErr w:type="gramStart"/>
      <w:r>
        <w:rPr>
          <w:rFonts w:ascii="Cambria" w:eastAsia="Cambria" w:hAnsi="Cambria" w:cs="Cambria"/>
          <w:i/>
          <w:color w:val="000000"/>
          <w:sz w:val="22"/>
          <w:szCs w:val="22"/>
          <w:highlight w:val="white"/>
        </w:rPr>
        <w:t>2.Cuando</w:t>
      </w:r>
      <w:proofErr w:type="gramEnd"/>
      <w:r>
        <w:rPr>
          <w:rFonts w:ascii="Cambria" w:eastAsia="Cambria" w:hAnsi="Cambria" w:cs="Cambria"/>
          <w:i/>
          <w:color w:val="000000"/>
          <w:sz w:val="22"/>
          <w:szCs w:val="22"/>
          <w:highlight w:val="white"/>
        </w:rPr>
        <w:t xml:space="preserve"> un niño sea privado ilegalmente de algunos de los elementos de su identidad o de todos ellos, los Estados Partes deberán prestar la asistencia y protección apropiadas con miras a restablecer rápidamente su identidad.”</w:t>
      </w:r>
    </w:p>
    <w:p w:rsidR="00AB7587" w:rsidRDefault="006462C3" w:rsidP="00A95D2F">
      <w:pPr>
        <w:pStyle w:val="normal0"/>
        <w:widowControl w:val="0"/>
        <w:pBdr>
          <w:top w:val="nil"/>
          <w:left w:val="nil"/>
          <w:bottom w:val="nil"/>
          <w:right w:val="nil"/>
          <w:between w:val="nil"/>
        </w:pBdr>
        <w:shd w:val="clear" w:color="auto" w:fill="FFFFFF"/>
        <w:spacing w:line="360" w:lineRule="auto"/>
        <w:ind w:left="1276" w:right="-93"/>
        <w:jc w:val="both"/>
        <w:rPr>
          <w:rFonts w:ascii="Cambria" w:eastAsia="Cambria" w:hAnsi="Cambria" w:cs="Cambria"/>
          <w:color w:val="000000"/>
          <w:sz w:val="22"/>
          <w:szCs w:val="22"/>
          <w:highlight w:val="white"/>
        </w:rPr>
      </w:pPr>
      <w:r>
        <w:rPr>
          <w:rFonts w:ascii="Cambria" w:eastAsia="Cambria" w:hAnsi="Cambria" w:cs="Cambria"/>
          <w:color w:val="000000"/>
          <w:sz w:val="22"/>
          <w:szCs w:val="22"/>
          <w:highlight w:val="white"/>
        </w:rPr>
        <w:t>Respecto de este artículo, en</w:t>
      </w:r>
      <w:r>
        <w:rPr>
          <w:rFonts w:ascii="Cambria" w:eastAsia="Cambria" w:hAnsi="Cambria" w:cs="Cambria"/>
          <w:color w:val="000000"/>
          <w:sz w:val="22"/>
          <w:szCs w:val="22"/>
          <w:highlight w:val="white"/>
        </w:rPr>
        <w:t xml:space="preserve"> particular, el Comité de los Derechos del Niño de Naciones Unidas en su Observación General Nº 14 del año 2013, sobre el </w:t>
      </w:r>
      <w:r w:rsidR="00A95D2F">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 xml:space="preserve">derecho del niño a que su interés superior sea una consideración primordial (artículo 3, párrafo 1) ha indicado: </w:t>
      </w:r>
    </w:p>
    <w:p w:rsidR="00AB7587" w:rsidRDefault="006462C3" w:rsidP="00A95D2F">
      <w:pPr>
        <w:pStyle w:val="normal0"/>
        <w:widowControl w:val="0"/>
        <w:pBdr>
          <w:top w:val="nil"/>
          <w:left w:val="nil"/>
          <w:bottom w:val="nil"/>
          <w:right w:val="nil"/>
          <w:between w:val="nil"/>
        </w:pBdr>
        <w:shd w:val="clear" w:color="auto" w:fill="FFFFFF"/>
        <w:spacing w:line="360" w:lineRule="auto"/>
        <w:ind w:left="1276" w:right="-93"/>
        <w:jc w:val="both"/>
        <w:rPr>
          <w:rFonts w:ascii="Cambria" w:eastAsia="Cambria" w:hAnsi="Cambria" w:cs="Cambria"/>
          <w:color w:val="000000"/>
          <w:sz w:val="22"/>
          <w:szCs w:val="22"/>
          <w:highlight w:val="white"/>
        </w:rPr>
      </w:pPr>
      <w:r>
        <w:rPr>
          <w:rFonts w:ascii="Cambria" w:eastAsia="Cambria" w:hAnsi="Cambria" w:cs="Cambria"/>
          <w:i/>
          <w:color w:val="000000"/>
          <w:sz w:val="22"/>
          <w:szCs w:val="22"/>
          <w:highlight w:val="white"/>
        </w:rPr>
        <w:t>“La identidad del ni</w:t>
      </w:r>
      <w:r>
        <w:rPr>
          <w:rFonts w:ascii="Cambria" w:eastAsia="Cambria" w:hAnsi="Cambria" w:cs="Cambria"/>
          <w:i/>
          <w:color w:val="000000"/>
          <w:sz w:val="22"/>
          <w:szCs w:val="22"/>
          <w:highlight w:val="white"/>
        </w:rPr>
        <w:t>ño</w:t>
      </w:r>
    </w:p>
    <w:p w:rsidR="00AB7587" w:rsidRDefault="006462C3" w:rsidP="00A95D2F">
      <w:pPr>
        <w:pStyle w:val="normal0"/>
        <w:widowControl w:val="0"/>
        <w:pBdr>
          <w:top w:val="nil"/>
          <w:left w:val="nil"/>
          <w:bottom w:val="nil"/>
          <w:right w:val="nil"/>
          <w:between w:val="nil"/>
        </w:pBdr>
        <w:shd w:val="clear" w:color="auto" w:fill="FFFFFF"/>
        <w:spacing w:line="360" w:lineRule="auto"/>
        <w:ind w:left="1276" w:right="-93"/>
        <w:jc w:val="both"/>
        <w:rPr>
          <w:rFonts w:ascii="Cambria" w:eastAsia="Cambria" w:hAnsi="Cambria" w:cs="Cambria"/>
          <w:i/>
          <w:color w:val="000000"/>
          <w:sz w:val="22"/>
          <w:szCs w:val="22"/>
          <w:highlight w:val="white"/>
        </w:rPr>
      </w:pPr>
      <w:r>
        <w:rPr>
          <w:rFonts w:ascii="Cambria" w:eastAsia="Cambria" w:hAnsi="Cambria" w:cs="Cambria"/>
          <w:i/>
          <w:color w:val="000000"/>
          <w:sz w:val="22"/>
          <w:szCs w:val="22"/>
          <w:highlight w:val="white"/>
        </w:rPr>
        <w:t>55. Los niños no son un grupo homogéneo, por lo que debe tenerse en cuenta la diversidad al evaluar su interés superior. La identidad del niño abarca características como el sexo, la orientación sexual, el origen nacional, la religión y las creencias, l</w:t>
      </w:r>
      <w:r>
        <w:rPr>
          <w:rFonts w:ascii="Cambria" w:eastAsia="Cambria" w:hAnsi="Cambria" w:cs="Cambria"/>
          <w:i/>
          <w:color w:val="000000"/>
          <w:sz w:val="22"/>
          <w:szCs w:val="22"/>
          <w:highlight w:val="white"/>
        </w:rPr>
        <w:t xml:space="preserve">a identidad cultural y la personalidad. Aunque los niños y los jóvenes comparten las necesidades universales básicas, la expresión de esas necesidades depende de una amplia gama de aspectos personales, físicos, sociales y culturales, incluida la evolución </w:t>
      </w:r>
      <w:r>
        <w:rPr>
          <w:rFonts w:ascii="Cambria" w:eastAsia="Cambria" w:hAnsi="Cambria" w:cs="Cambria"/>
          <w:i/>
          <w:color w:val="000000"/>
          <w:sz w:val="22"/>
          <w:szCs w:val="22"/>
          <w:highlight w:val="white"/>
        </w:rPr>
        <w:t>de sus facultades. El derecho del niño a preservar su identidad está garantizado por la Convención (art. 8) y debe ser respetado y tenido en cuenta al evaluar el interés superior del niño.</w:t>
      </w:r>
    </w:p>
    <w:p w:rsidR="00AB7587" w:rsidRDefault="006462C3" w:rsidP="00A95D2F">
      <w:pPr>
        <w:pStyle w:val="normal0"/>
        <w:widowControl w:val="0"/>
        <w:pBdr>
          <w:top w:val="nil"/>
          <w:left w:val="nil"/>
          <w:bottom w:val="nil"/>
          <w:right w:val="nil"/>
          <w:between w:val="nil"/>
        </w:pBdr>
        <w:shd w:val="clear" w:color="auto" w:fill="FFFFFF"/>
        <w:spacing w:line="360" w:lineRule="auto"/>
        <w:ind w:left="1276" w:right="-93"/>
        <w:jc w:val="both"/>
        <w:rPr>
          <w:rFonts w:ascii="Cambria" w:eastAsia="Cambria" w:hAnsi="Cambria" w:cs="Cambria"/>
          <w:i/>
          <w:color w:val="000000"/>
          <w:sz w:val="22"/>
          <w:szCs w:val="22"/>
          <w:highlight w:val="white"/>
        </w:rPr>
      </w:pPr>
      <w:r>
        <w:rPr>
          <w:rFonts w:ascii="Cambria" w:eastAsia="Cambria" w:hAnsi="Cambria" w:cs="Cambria"/>
          <w:i/>
          <w:color w:val="000000"/>
          <w:sz w:val="22"/>
          <w:szCs w:val="22"/>
          <w:highlight w:val="white"/>
        </w:rPr>
        <w:t>(…)57. Aunque debe tenerse en cuenta la preservación de los valores</w:t>
      </w:r>
      <w:r>
        <w:rPr>
          <w:rFonts w:ascii="Cambria" w:eastAsia="Cambria" w:hAnsi="Cambria" w:cs="Cambria"/>
          <w:i/>
          <w:color w:val="000000"/>
          <w:sz w:val="22"/>
          <w:szCs w:val="22"/>
          <w:highlight w:val="white"/>
        </w:rPr>
        <w:t xml:space="preserve"> y las tradiciones</w:t>
      </w:r>
      <w:r w:rsidR="00A95D2F">
        <w:rPr>
          <w:rFonts w:ascii="Cambria" w:eastAsia="Cambria" w:hAnsi="Cambria" w:cs="Cambria"/>
          <w:i/>
          <w:color w:val="000000"/>
          <w:sz w:val="22"/>
          <w:szCs w:val="22"/>
          <w:highlight w:val="white"/>
        </w:rPr>
        <w:t xml:space="preserve"> </w:t>
      </w:r>
      <w:proofErr w:type="gramStart"/>
      <w:r>
        <w:rPr>
          <w:rFonts w:ascii="Cambria" w:eastAsia="Cambria" w:hAnsi="Cambria" w:cs="Cambria"/>
          <w:i/>
          <w:color w:val="000000"/>
          <w:sz w:val="22"/>
          <w:szCs w:val="22"/>
          <w:highlight w:val="white"/>
        </w:rPr>
        <w:t>religiosos</w:t>
      </w:r>
      <w:proofErr w:type="gramEnd"/>
      <w:r>
        <w:rPr>
          <w:rFonts w:ascii="Cambria" w:eastAsia="Cambria" w:hAnsi="Cambria" w:cs="Cambria"/>
          <w:i/>
          <w:color w:val="000000"/>
          <w:sz w:val="22"/>
          <w:szCs w:val="22"/>
          <w:highlight w:val="white"/>
        </w:rPr>
        <w:t xml:space="preserve"> y culturales como parte de la identidad del niño, las prácticas que sean incompatibles o estén reñidas con los derechos establecidos en la </w:t>
      </w:r>
      <w:r>
        <w:rPr>
          <w:rFonts w:ascii="Cambria" w:eastAsia="Cambria" w:hAnsi="Cambria" w:cs="Cambria"/>
          <w:i/>
          <w:color w:val="000000"/>
          <w:sz w:val="22"/>
          <w:szCs w:val="22"/>
          <w:highlight w:val="white"/>
        </w:rPr>
        <w:lastRenderedPageBreak/>
        <w:t>Convención no responden al interés superior del niño. La identidad cultural no puede ex</w:t>
      </w:r>
      <w:r>
        <w:rPr>
          <w:rFonts w:ascii="Cambria" w:eastAsia="Cambria" w:hAnsi="Cambria" w:cs="Cambria"/>
          <w:i/>
          <w:color w:val="000000"/>
          <w:sz w:val="22"/>
          <w:szCs w:val="22"/>
          <w:highlight w:val="white"/>
        </w:rPr>
        <w:t>cusar ni justificar que los responsables de la toma de decisiones y las autoridades perpetúen tradiciones y valores culturales que niegan al niño o los niños los derechos que les garantiza la Convención.”</w:t>
      </w:r>
    </w:p>
    <w:p w:rsidR="00AB7587" w:rsidRDefault="006462C3" w:rsidP="00A95D2F">
      <w:pPr>
        <w:pStyle w:val="normal0"/>
        <w:widowControl w:val="0"/>
        <w:pBdr>
          <w:top w:val="nil"/>
          <w:left w:val="nil"/>
          <w:bottom w:val="nil"/>
          <w:right w:val="nil"/>
          <w:between w:val="nil"/>
        </w:pBdr>
        <w:shd w:val="clear" w:color="auto" w:fill="FFFFFF"/>
        <w:spacing w:line="360" w:lineRule="auto"/>
        <w:ind w:left="1276" w:right="-93"/>
        <w:jc w:val="both"/>
        <w:rPr>
          <w:rFonts w:ascii="Cambria" w:eastAsia="Cambria" w:hAnsi="Cambria" w:cs="Cambria"/>
          <w:i/>
          <w:color w:val="000000"/>
          <w:sz w:val="22"/>
          <w:szCs w:val="22"/>
        </w:rPr>
      </w:pPr>
      <w:r>
        <w:rPr>
          <w:rFonts w:ascii="Cambria" w:eastAsia="Cambria" w:hAnsi="Cambria" w:cs="Cambria"/>
          <w:color w:val="000000"/>
          <w:sz w:val="22"/>
          <w:szCs w:val="22"/>
          <w:highlight w:val="white"/>
        </w:rPr>
        <w:t>De esta manera, el derecho a la identidad de los ni</w:t>
      </w:r>
      <w:r>
        <w:rPr>
          <w:rFonts w:ascii="Cambria" w:eastAsia="Cambria" w:hAnsi="Cambria" w:cs="Cambria"/>
          <w:color w:val="000000"/>
          <w:sz w:val="22"/>
          <w:szCs w:val="22"/>
          <w:highlight w:val="white"/>
        </w:rPr>
        <w:t>ños, niñas y adolescentes está vinculado no sólo</w:t>
      </w:r>
      <w:r>
        <w:rPr>
          <w:rFonts w:ascii="Cambria" w:eastAsia="Cambria" w:hAnsi="Cambria" w:cs="Cambria"/>
          <w:i/>
          <w:color w:val="000000"/>
          <w:sz w:val="22"/>
          <w:szCs w:val="22"/>
          <w:highlight w:val="white"/>
        </w:rPr>
        <w:t xml:space="preserve"> </w:t>
      </w:r>
      <w:r>
        <w:rPr>
          <w:rFonts w:ascii="Cambria" w:eastAsia="Cambria" w:hAnsi="Cambria" w:cs="Cambria"/>
          <w:color w:val="000000"/>
          <w:sz w:val="22"/>
          <w:szCs w:val="22"/>
          <w:highlight w:val="white"/>
        </w:rPr>
        <w:t>al</w:t>
      </w:r>
      <w:r>
        <w:rPr>
          <w:rFonts w:ascii="Cambria" w:eastAsia="Cambria" w:hAnsi="Cambria" w:cs="Cambria"/>
          <w:i/>
          <w:color w:val="000000"/>
          <w:sz w:val="22"/>
          <w:szCs w:val="22"/>
          <w:highlight w:val="white"/>
        </w:rPr>
        <w:t xml:space="preserve"> </w:t>
      </w:r>
      <w:r>
        <w:rPr>
          <w:rFonts w:ascii="Cambria" w:eastAsia="Cambria" w:hAnsi="Cambria" w:cs="Cambria"/>
          <w:color w:val="000000"/>
          <w:sz w:val="22"/>
          <w:szCs w:val="22"/>
          <w:highlight w:val="white"/>
        </w:rPr>
        <w:t xml:space="preserve">nombre, nacionalidad u origen familiar, sino que abarca la condición de ser una persona identificable. No lo expresa el artículo 8 de la Convención pero el derecho a la identidad de los niños comprende </w:t>
      </w:r>
      <w:r>
        <w:rPr>
          <w:rFonts w:ascii="Cambria" w:eastAsia="Cambria" w:hAnsi="Cambria" w:cs="Cambria"/>
          <w:i/>
          <w:color w:val="000000"/>
          <w:sz w:val="22"/>
          <w:szCs w:val="22"/>
          <w:highlight w:val="white"/>
        </w:rPr>
        <w:t>“t</w:t>
      </w:r>
      <w:r>
        <w:rPr>
          <w:rFonts w:ascii="Cambria" w:eastAsia="Cambria" w:hAnsi="Cambria" w:cs="Cambria"/>
          <w:i/>
          <w:color w:val="000000"/>
          <w:sz w:val="22"/>
          <w:szCs w:val="22"/>
          <w:highlight w:val="white"/>
        </w:rPr>
        <w:t>ambién su historia personal desde el nacimiento, su raza, cultura, religión, lengua, apariencia física, habilidades, identidad de género y orientación sexual.</w:t>
      </w:r>
      <w:r>
        <w:rPr>
          <w:rFonts w:ascii="Cambria" w:eastAsia="Cambria" w:hAnsi="Cambria" w:cs="Cambria"/>
          <w:i/>
          <w:color w:val="000000"/>
          <w:sz w:val="22"/>
          <w:szCs w:val="22"/>
          <w:highlight w:val="white"/>
          <w:vertAlign w:val="superscript"/>
        </w:rPr>
        <w:footnoteReference w:id="1"/>
      </w:r>
      <w:r>
        <w:rPr>
          <w:rFonts w:ascii="Cambria" w:eastAsia="Cambria" w:hAnsi="Cambria" w:cs="Cambria"/>
          <w:i/>
          <w:color w:val="000000"/>
          <w:sz w:val="22"/>
          <w:szCs w:val="22"/>
        </w:rPr>
        <w:t>”</w:t>
      </w:r>
    </w:p>
    <w:p w:rsidR="00AB7587" w:rsidRDefault="006462C3" w:rsidP="00A95D2F">
      <w:pPr>
        <w:pStyle w:val="normal0"/>
        <w:numPr>
          <w:ilvl w:val="0"/>
          <w:numId w:val="6"/>
        </w:numPr>
        <w:pBdr>
          <w:top w:val="nil"/>
          <w:left w:val="nil"/>
          <w:bottom w:val="nil"/>
          <w:right w:val="nil"/>
          <w:between w:val="nil"/>
        </w:pBdr>
        <w:shd w:val="clear" w:color="auto" w:fill="FFFFFF"/>
        <w:spacing w:line="360" w:lineRule="auto"/>
        <w:ind w:left="1276" w:right="-93"/>
        <w:jc w:val="both"/>
        <w:rPr>
          <w:color w:val="000000"/>
          <w:sz w:val="22"/>
          <w:szCs w:val="22"/>
        </w:rPr>
      </w:pPr>
      <w:r>
        <w:rPr>
          <w:rFonts w:ascii="Cambria" w:eastAsia="Cambria" w:hAnsi="Cambria" w:cs="Cambria"/>
          <w:color w:val="000000"/>
          <w:sz w:val="22"/>
          <w:szCs w:val="22"/>
        </w:rPr>
        <w:t>En el numeral 1 del artículo 12 de la Convención, los Estados Partes se obligan a garantizar al niño las condiciones para formarse un juicio propio y el derecho de expresar su opinión libremente en función de su edad y madurez. Los niños, niñas y adolescen</w:t>
      </w:r>
      <w:r>
        <w:rPr>
          <w:rFonts w:ascii="Cambria" w:eastAsia="Cambria" w:hAnsi="Cambria" w:cs="Cambria"/>
          <w:color w:val="000000"/>
          <w:sz w:val="22"/>
          <w:szCs w:val="22"/>
        </w:rPr>
        <w:t xml:space="preserve">tes no son sólo objetos de protección, sino que también son titulares de derechos. De esta manera, sus intereses, sean morales o de otra índole, deben ser considerados en toda materia que les afecte. Los Estados </w:t>
      </w:r>
      <w:r w:rsidR="00A95D2F">
        <w:rPr>
          <w:rFonts w:ascii="Cambria" w:eastAsia="Cambria" w:hAnsi="Cambria" w:cs="Cambria"/>
          <w:color w:val="000000"/>
          <w:sz w:val="22"/>
          <w:szCs w:val="22"/>
        </w:rPr>
        <w:t xml:space="preserve">  </w:t>
      </w:r>
      <w:r>
        <w:rPr>
          <w:rFonts w:ascii="Cambria" w:eastAsia="Cambria" w:hAnsi="Cambria" w:cs="Cambria"/>
          <w:color w:val="000000"/>
          <w:sz w:val="22"/>
          <w:szCs w:val="22"/>
        </w:rPr>
        <w:t>partes deben partir de la premisa que los ni</w:t>
      </w:r>
      <w:r>
        <w:rPr>
          <w:rFonts w:ascii="Cambria" w:eastAsia="Cambria" w:hAnsi="Cambria" w:cs="Cambria"/>
          <w:color w:val="000000"/>
          <w:sz w:val="22"/>
          <w:szCs w:val="22"/>
        </w:rPr>
        <w:t xml:space="preserve">ños son capaces de formarse sus opiniones y expresarlas libremente. </w:t>
      </w:r>
    </w:p>
    <w:p w:rsidR="00AB7587" w:rsidRDefault="006462C3" w:rsidP="00A95D2F">
      <w:pPr>
        <w:pStyle w:val="normal0"/>
        <w:numPr>
          <w:ilvl w:val="0"/>
          <w:numId w:val="1"/>
        </w:numPr>
        <w:pBdr>
          <w:top w:val="nil"/>
          <w:left w:val="nil"/>
          <w:bottom w:val="nil"/>
          <w:right w:val="nil"/>
          <w:between w:val="nil"/>
        </w:pBdr>
        <w:spacing w:line="360" w:lineRule="auto"/>
        <w:ind w:left="1276" w:right="-93"/>
        <w:jc w:val="both"/>
        <w:rPr>
          <w:color w:val="000000"/>
          <w:sz w:val="22"/>
          <w:szCs w:val="22"/>
        </w:rPr>
      </w:pPr>
      <w:r>
        <w:rPr>
          <w:rFonts w:ascii="Cambria" w:eastAsia="Cambria" w:hAnsi="Cambria" w:cs="Cambria"/>
          <w:color w:val="000000"/>
          <w:sz w:val="22"/>
          <w:szCs w:val="22"/>
        </w:rPr>
        <w:t xml:space="preserve">El artículo 5° de la Convención establece que </w:t>
      </w:r>
      <w:r>
        <w:rPr>
          <w:rFonts w:ascii="Cambria" w:eastAsia="Cambria" w:hAnsi="Cambria" w:cs="Cambria"/>
          <w:i/>
          <w:color w:val="000000"/>
          <w:sz w:val="22"/>
          <w:szCs w:val="22"/>
        </w:rPr>
        <w:t>“Los Estados Partes respetarán las responsabilidades, los derechos y los deberes de los padres o, en su caso, de los miembros de la familia a</w:t>
      </w:r>
      <w:r>
        <w:rPr>
          <w:rFonts w:ascii="Cambria" w:eastAsia="Cambria" w:hAnsi="Cambria" w:cs="Cambria"/>
          <w:i/>
          <w:color w:val="000000"/>
          <w:sz w:val="22"/>
          <w:szCs w:val="22"/>
        </w:rPr>
        <w:t xml:space="preserve">mpliada o de la comunidad, según establezca la </w:t>
      </w:r>
      <w:r w:rsidR="00A95D2F">
        <w:rPr>
          <w:rFonts w:ascii="Cambria" w:eastAsia="Cambria" w:hAnsi="Cambria" w:cs="Cambria"/>
          <w:i/>
          <w:color w:val="000000"/>
          <w:sz w:val="22"/>
          <w:szCs w:val="22"/>
        </w:rPr>
        <w:t xml:space="preserve">  </w:t>
      </w:r>
      <w:r>
        <w:rPr>
          <w:rFonts w:ascii="Cambria" w:eastAsia="Cambria" w:hAnsi="Cambria" w:cs="Cambria"/>
          <w:i/>
          <w:color w:val="000000"/>
          <w:sz w:val="22"/>
          <w:szCs w:val="22"/>
        </w:rPr>
        <w:t xml:space="preserve">costumbre local, de los tutores u otras personas encargadas legalmente del niño </w:t>
      </w:r>
      <w:r w:rsidR="00A95D2F">
        <w:rPr>
          <w:rFonts w:ascii="Cambria" w:eastAsia="Cambria" w:hAnsi="Cambria" w:cs="Cambria"/>
          <w:i/>
          <w:color w:val="000000"/>
          <w:sz w:val="22"/>
          <w:szCs w:val="22"/>
        </w:rPr>
        <w:t xml:space="preserve">   </w:t>
      </w:r>
      <w:r>
        <w:rPr>
          <w:rFonts w:ascii="Cambria" w:eastAsia="Cambria" w:hAnsi="Cambria" w:cs="Cambria"/>
          <w:i/>
          <w:color w:val="000000"/>
          <w:sz w:val="22"/>
          <w:szCs w:val="22"/>
        </w:rPr>
        <w:t xml:space="preserve">de impartirle, en consonancia con la evolución de sus facultades, dirección y orientación apropiadas para que el niño ejerza los </w:t>
      </w:r>
      <w:r>
        <w:rPr>
          <w:rFonts w:ascii="Cambria" w:eastAsia="Cambria" w:hAnsi="Cambria" w:cs="Cambria"/>
          <w:i/>
          <w:color w:val="000000"/>
          <w:sz w:val="22"/>
          <w:szCs w:val="22"/>
        </w:rPr>
        <w:t xml:space="preserve">derechos reconocidos en la presente Convención.” </w:t>
      </w:r>
      <w:r>
        <w:rPr>
          <w:rFonts w:ascii="Cambria" w:eastAsia="Cambria" w:hAnsi="Cambria" w:cs="Cambria"/>
          <w:color w:val="000000"/>
          <w:sz w:val="22"/>
          <w:szCs w:val="22"/>
        </w:rPr>
        <w:t>Esta norma reconoce la primacía de la responsabilidad parental respecto de la responsabilidad del Estado, pero no otorga derechos plenos a los padres, sólo pueden en actuar en interés de los niños, niñas y a</w:t>
      </w:r>
      <w:r>
        <w:rPr>
          <w:rFonts w:ascii="Cambria" w:eastAsia="Cambria" w:hAnsi="Cambria" w:cs="Cambria"/>
          <w:color w:val="000000"/>
          <w:sz w:val="22"/>
          <w:szCs w:val="22"/>
        </w:rPr>
        <w:t xml:space="preserve">dolescentes. </w:t>
      </w:r>
    </w:p>
    <w:p w:rsidR="00AB7587" w:rsidRDefault="006462C3" w:rsidP="00A95D2F">
      <w:pPr>
        <w:pStyle w:val="normal0"/>
        <w:numPr>
          <w:ilvl w:val="0"/>
          <w:numId w:val="1"/>
        </w:numPr>
        <w:pBdr>
          <w:top w:val="nil"/>
          <w:left w:val="nil"/>
          <w:bottom w:val="nil"/>
          <w:right w:val="nil"/>
          <w:between w:val="nil"/>
        </w:pBdr>
        <w:spacing w:line="360" w:lineRule="auto"/>
        <w:ind w:left="1276" w:right="-93"/>
        <w:jc w:val="both"/>
        <w:rPr>
          <w:color w:val="000000"/>
          <w:sz w:val="22"/>
          <w:szCs w:val="22"/>
        </w:rPr>
      </w:pPr>
      <w:r>
        <w:rPr>
          <w:rFonts w:ascii="Cambria" w:eastAsia="Cambria" w:hAnsi="Cambria" w:cs="Cambria"/>
          <w:color w:val="000000"/>
          <w:sz w:val="22"/>
          <w:szCs w:val="22"/>
        </w:rPr>
        <w:t xml:space="preserve">El marco para determinar cómo debe ser ejercida esa responsabilidad la provee el Comité de los Derechos del Niño de Naciones Unidas en su Observación General N° 12: </w:t>
      </w:r>
    </w:p>
    <w:p w:rsidR="00AB7587" w:rsidRDefault="006462C3" w:rsidP="00A95D2F">
      <w:pPr>
        <w:pStyle w:val="normal0"/>
        <w:pBdr>
          <w:top w:val="nil"/>
          <w:left w:val="nil"/>
          <w:bottom w:val="nil"/>
          <w:right w:val="nil"/>
          <w:between w:val="nil"/>
        </w:pBdr>
        <w:tabs>
          <w:tab w:val="left" w:pos="1047"/>
        </w:tabs>
        <w:spacing w:line="360" w:lineRule="auto"/>
        <w:ind w:left="1276" w:right="-93" w:hanging="720"/>
        <w:jc w:val="both"/>
        <w:rPr>
          <w:rFonts w:ascii="Cambria" w:eastAsia="Cambria" w:hAnsi="Cambria" w:cs="Cambria"/>
          <w:i/>
          <w:color w:val="000000"/>
          <w:sz w:val="22"/>
          <w:szCs w:val="22"/>
        </w:rPr>
      </w:pPr>
      <w:r>
        <w:rPr>
          <w:rFonts w:ascii="Cambria" w:eastAsia="Cambria" w:hAnsi="Cambria" w:cs="Cambria"/>
          <w:i/>
          <w:color w:val="000000"/>
          <w:sz w:val="22"/>
          <w:szCs w:val="22"/>
        </w:rPr>
        <w:tab/>
        <w:t>"El artículo 5 de la Convención establece que los Estados partes respetarán</w:t>
      </w:r>
      <w:r>
        <w:rPr>
          <w:rFonts w:ascii="Cambria" w:eastAsia="Cambria" w:hAnsi="Cambria" w:cs="Cambria"/>
          <w:i/>
          <w:color w:val="000000"/>
          <w:sz w:val="22"/>
          <w:szCs w:val="22"/>
        </w:rPr>
        <w:t xml:space="preserve"> las responsabilidades, los derechos y los deberes de los padres, los tutores o los miembros de la familia ampliada o de la comunidad, según establezca la </w:t>
      </w:r>
      <w:r w:rsidR="00A95D2F">
        <w:rPr>
          <w:rFonts w:ascii="Cambria" w:eastAsia="Cambria" w:hAnsi="Cambria" w:cs="Cambria"/>
          <w:i/>
          <w:color w:val="000000"/>
          <w:sz w:val="22"/>
          <w:szCs w:val="22"/>
        </w:rPr>
        <w:t xml:space="preserve">  </w:t>
      </w:r>
      <w:r>
        <w:rPr>
          <w:rFonts w:ascii="Cambria" w:eastAsia="Cambria" w:hAnsi="Cambria" w:cs="Cambria"/>
          <w:i/>
          <w:color w:val="000000"/>
          <w:sz w:val="22"/>
          <w:szCs w:val="22"/>
        </w:rPr>
        <w:t>costumbre local, de impartir dirección y orientación al niño en su ejercicio de los derechos reconoci</w:t>
      </w:r>
      <w:r>
        <w:rPr>
          <w:rFonts w:ascii="Cambria" w:eastAsia="Cambria" w:hAnsi="Cambria" w:cs="Cambria"/>
          <w:i/>
          <w:color w:val="000000"/>
          <w:sz w:val="22"/>
          <w:szCs w:val="22"/>
        </w:rPr>
        <w:t xml:space="preserve">dos en la Convención. Por consiguiente, el niño tiene derecho a </w:t>
      </w:r>
      <w:r>
        <w:rPr>
          <w:rFonts w:ascii="Cambria" w:eastAsia="Cambria" w:hAnsi="Cambria" w:cs="Cambria"/>
          <w:i/>
          <w:color w:val="000000"/>
          <w:sz w:val="22"/>
          <w:szCs w:val="22"/>
        </w:rPr>
        <w:lastRenderedPageBreak/>
        <w:t xml:space="preserve">recibir dirección y orientación, que tienen que compensar la falta de </w:t>
      </w:r>
      <w:r w:rsidR="00A95D2F">
        <w:rPr>
          <w:rFonts w:ascii="Cambria" w:eastAsia="Cambria" w:hAnsi="Cambria" w:cs="Cambria"/>
          <w:i/>
          <w:color w:val="000000"/>
          <w:sz w:val="22"/>
          <w:szCs w:val="22"/>
        </w:rPr>
        <w:t xml:space="preserve"> </w:t>
      </w:r>
      <w:r>
        <w:rPr>
          <w:rFonts w:ascii="Cambria" w:eastAsia="Cambria" w:hAnsi="Cambria" w:cs="Cambria"/>
          <w:i/>
          <w:color w:val="000000"/>
          <w:sz w:val="22"/>
          <w:szCs w:val="22"/>
        </w:rPr>
        <w:t>conocimientos, experiencia y comprensión del niño y estar en consonancia con la evolución de sus facultades, como se estab</w:t>
      </w:r>
      <w:r>
        <w:rPr>
          <w:rFonts w:ascii="Cambria" w:eastAsia="Cambria" w:hAnsi="Cambria" w:cs="Cambria"/>
          <w:i/>
          <w:color w:val="000000"/>
          <w:sz w:val="22"/>
          <w:szCs w:val="22"/>
        </w:rPr>
        <w:t xml:space="preserve">lece en ese artículo. Cuantas más cosas sepa, haya experimentado y comprenda el niño, más deben los padres, tutores u otras personas legalmente responsables del niño transformar la dirección y orientación en recordatorios y consejos y, más adelante, en un </w:t>
      </w:r>
      <w:r>
        <w:rPr>
          <w:rFonts w:ascii="Cambria" w:eastAsia="Cambria" w:hAnsi="Cambria" w:cs="Cambria"/>
          <w:i/>
          <w:color w:val="000000"/>
          <w:sz w:val="22"/>
          <w:szCs w:val="22"/>
        </w:rPr>
        <w:t>intercambio en pie de igualdad. Esta transformación no tendrá lugar en un punto fijo del desarrollo del niño, sino que se producirá paulatinamente a medida que se alienta al niño a aportar sus opiniones.</w:t>
      </w:r>
    </w:p>
    <w:p w:rsidR="00AB7587" w:rsidRDefault="006462C3" w:rsidP="00A95D2F">
      <w:pPr>
        <w:pStyle w:val="normal0"/>
        <w:pBdr>
          <w:top w:val="nil"/>
          <w:left w:val="nil"/>
          <w:bottom w:val="nil"/>
          <w:right w:val="nil"/>
          <w:between w:val="nil"/>
        </w:pBdr>
        <w:tabs>
          <w:tab w:val="left" w:pos="1047"/>
        </w:tabs>
        <w:spacing w:line="360" w:lineRule="auto"/>
        <w:ind w:left="1276" w:right="-93" w:hanging="720"/>
        <w:jc w:val="both"/>
        <w:rPr>
          <w:rFonts w:ascii="Cambria" w:eastAsia="Cambria" w:hAnsi="Cambria" w:cs="Cambria"/>
          <w:color w:val="000000"/>
          <w:sz w:val="22"/>
          <w:szCs w:val="22"/>
        </w:rPr>
      </w:pPr>
      <w:r>
        <w:rPr>
          <w:rFonts w:ascii="Cambria" w:eastAsia="Cambria" w:hAnsi="Cambria" w:cs="Cambria"/>
          <w:i/>
          <w:color w:val="000000"/>
          <w:sz w:val="22"/>
          <w:szCs w:val="22"/>
        </w:rPr>
        <w:tab/>
        <w:t xml:space="preserve">Esta condición se ve reafirmada por el artículo 12 </w:t>
      </w:r>
      <w:r>
        <w:rPr>
          <w:rFonts w:ascii="Cambria" w:eastAsia="Cambria" w:hAnsi="Cambria" w:cs="Cambria"/>
          <w:i/>
          <w:color w:val="000000"/>
          <w:sz w:val="22"/>
          <w:szCs w:val="22"/>
        </w:rPr>
        <w:t xml:space="preserve">de la Convención, que estipula </w:t>
      </w:r>
      <w:r w:rsidR="00A95D2F">
        <w:rPr>
          <w:rFonts w:ascii="Cambria" w:eastAsia="Cambria" w:hAnsi="Cambria" w:cs="Cambria"/>
          <w:i/>
          <w:color w:val="000000"/>
          <w:sz w:val="22"/>
          <w:szCs w:val="22"/>
        </w:rPr>
        <w:t xml:space="preserve">    </w:t>
      </w:r>
      <w:r>
        <w:rPr>
          <w:rFonts w:ascii="Cambria" w:eastAsia="Cambria" w:hAnsi="Cambria" w:cs="Cambria"/>
          <w:i/>
          <w:color w:val="000000"/>
          <w:sz w:val="22"/>
          <w:szCs w:val="22"/>
        </w:rPr>
        <w:t>que deberán tenerse debidamente en cuenta las opiniones del niño, siempre que el niño esté en condiciones de formarse un juicio propio. En otras palabras, a medida que los niños adquieren facultades tienen derecho a asumir un</w:t>
      </w:r>
      <w:r>
        <w:rPr>
          <w:rFonts w:ascii="Cambria" w:eastAsia="Cambria" w:hAnsi="Cambria" w:cs="Cambria"/>
          <w:i/>
          <w:color w:val="000000"/>
          <w:sz w:val="22"/>
          <w:szCs w:val="22"/>
        </w:rPr>
        <w:t xml:space="preserve"> nivel cada vez </w:t>
      </w:r>
      <w:r w:rsidR="00A95D2F">
        <w:rPr>
          <w:rFonts w:ascii="Cambria" w:eastAsia="Cambria" w:hAnsi="Cambria" w:cs="Cambria"/>
          <w:i/>
          <w:color w:val="000000"/>
          <w:sz w:val="22"/>
          <w:szCs w:val="22"/>
        </w:rPr>
        <w:t xml:space="preserve"> </w:t>
      </w:r>
      <w:r>
        <w:rPr>
          <w:rFonts w:ascii="Cambria" w:eastAsia="Cambria" w:hAnsi="Cambria" w:cs="Cambria"/>
          <w:i/>
          <w:color w:val="000000"/>
          <w:sz w:val="22"/>
          <w:szCs w:val="22"/>
        </w:rPr>
        <w:t>mayor de responsabilidad respecto de la regulación de los asuntos que los afectan"</w:t>
      </w:r>
    </w:p>
    <w:p w:rsidR="00AB7587" w:rsidRDefault="006462C3" w:rsidP="00A95D2F">
      <w:pPr>
        <w:pStyle w:val="normal0"/>
        <w:pBdr>
          <w:top w:val="nil"/>
          <w:left w:val="nil"/>
          <w:bottom w:val="nil"/>
          <w:right w:val="nil"/>
          <w:between w:val="nil"/>
        </w:pBdr>
        <w:tabs>
          <w:tab w:val="left" w:pos="1047"/>
        </w:tabs>
        <w:spacing w:line="360" w:lineRule="auto"/>
        <w:ind w:left="1276" w:right="-93" w:hanging="720"/>
        <w:jc w:val="both"/>
        <w:rPr>
          <w:rFonts w:ascii="Cambria" w:eastAsia="Cambria" w:hAnsi="Cambria" w:cs="Cambria"/>
          <w:color w:val="000000"/>
          <w:sz w:val="22"/>
          <w:szCs w:val="22"/>
        </w:rPr>
      </w:pPr>
      <w:r>
        <w:rPr>
          <w:rFonts w:ascii="Cambria" w:eastAsia="Cambria" w:hAnsi="Cambria" w:cs="Cambria"/>
          <w:color w:val="000000"/>
          <w:sz w:val="22"/>
          <w:szCs w:val="22"/>
        </w:rPr>
        <w:tab/>
        <w:t>De esta manera, la responsabilidad de los padres, presupone siempre, que dicha función se ejerza de un modo compatible con el progresivo desarrollo de la au</w:t>
      </w:r>
      <w:r>
        <w:rPr>
          <w:rFonts w:ascii="Cambria" w:eastAsia="Cambria" w:hAnsi="Cambria" w:cs="Cambria"/>
          <w:color w:val="000000"/>
          <w:sz w:val="22"/>
          <w:szCs w:val="22"/>
        </w:rPr>
        <w:t>tonomía de los niños, niñas y adolescentes para el ejercicio pleno de los derechos.</w:t>
      </w:r>
    </w:p>
    <w:p w:rsidR="00AB7587" w:rsidRDefault="006462C3" w:rsidP="00A95D2F">
      <w:pPr>
        <w:pStyle w:val="normal0"/>
        <w:numPr>
          <w:ilvl w:val="0"/>
          <w:numId w:val="2"/>
        </w:numPr>
        <w:pBdr>
          <w:top w:val="nil"/>
          <w:left w:val="nil"/>
          <w:bottom w:val="nil"/>
          <w:right w:val="nil"/>
          <w:between w:val="nil"/>
        </w:pBdr>
        <w:spacing w:after="240" w:line="360" w:lineRule="auto"/>
        <w:ind w:left="1276" w:right="-93"/>
        <w:jc w:val="both"/>
        <w:rPr>
          <w:rFonts w:ascii="Cambria" w:eastAsia="Cambria" w:hAnsi="Cambria" w:cs="Cambria"/>
          <w:color w:val="000000"/>
          <w:sz w:val="22"/>
          <w:szCs w:val="22"/>
        </w:rPr>
      </w:pPr>
      <w:r>
        <w:rPr>
          <w:rFonts w:ascii="Cambria" w:eastAsia="Cambria" w:hAnsi="Cambria" w:cs="Cambria"/>
          <w:color w:val="000000"/>
          <w:sz w:val="22"/>
          <w:szCs w:val="22"/>
        </w:rPr>
        <w:t xml:space="preserve">Los niños, niñas y adolescentes sufren violación de derechos en  ámbitos familiares y escolares,  y son mucho más susceptibles a  vulneraciones cuando </w:t>
      </w:r>
      <w:r w:rsidR="00A95D2F">
        <w:rPr>
          <w:rFonts w:ascii="Cambria" w:eastAsia="Cambria" w:hAnsi="Cambria" w:cs="Cambria"/>
          <w:color w:val="000000"/>
          <w:sz w:val="22"/>
          <w:szCs w:val="22"/>
        </w:rPr>
        <w:t xml:space="preserve">   </w:t>
      </w:r>
      <w:r>
        <w:rPr>
          <w:rFonts w:ascii="Cambria" w:eastAsia="Cambria" w:hAnsi="Cambria" w:cs="Cambria"/>
          <w:color w:val="000000"/>
          <w:sz w:val="22"/>
          <w:szCs w:val="22"/>
        </w:rPr>
        <w:t>se encuentran en procesos de definición de identidad de género u orientación sexual. Las cifras que arroj</w:t>
      </w:r>
      <w:r>
        <w:rPr>
          <w:rFonts w:ascii="Cambria" w:eastAsia="Cambria" w:hAnsi="Cambria" w:cs="Cambria"/>
          <w:color w:val="000000"/>
          <w:sz w:val="22"/>
          <w:szCs w:val="22"/>
        </w:rPr>
        <w:t>an los estudios de UNICEF son impresionantes, cerca del 70% de nuestros niños dice haber sufrido algún tipo de violencia por parte</w:t>
      </w:r>
      <w:r w:rsidR="00A95D2F">
        <w:rPr>
          <w:rFonts w:ascii="Cambria" w:eastAsia="Cambria" w:hAnsi="Cambria" w:cs="Cambria"/>
          <w:color w:val="000000"/>
          <w:sz w:val="22"/>
          <w:szCs w:val="22"/>
        </w:rPr>
        <w:t xml:space="preserve"> </w:t>
      </w:r>
      <w:r>
        <w:rPr>
          <w:rFonts w:ascii="Cambria" w:eastAsia="Cambria" w:hAnsi="Cambria" w:cs="Cambria"/>
          <w:color w:val="000000"/>
          <w:sz w:val="22"/>
          <w:szCs w:val="22"/>
        </w:rPr>
        <w:t xml:space="preserve"> de su padre y/o madre. El maltrato es transversal al nivel socioeconómico de las familias.</w:t>
      </w:r>
    </w:p>
    <w:p w:rsidR="00AB7587" w:rsidRDefault="006462C3" w:rsidP="00A95D2F">
      <w:pPr>
        <w:pStyle w:val="normal0"/>
        <w:numPr>
          <w:ilvl w:val="0"/>
          <w:numId w:val="2"/>
        </w:numPr>
        <w:shd w:val="clear" w:color="auto" w:fill="FFFFFF"/>
        <w:spacing w:line="360" w:lineRule="auto"/>
        <w:ind w:left="1276" w:right="-93"/>
        <w:jc w:val="both"/>
        <w:rPr>
          <w:rFonts w:ascii="Cambria" w:eastAsia="Cambria" w:hAnsi="Cambria" w:cs="Cambria"/>
          <w:sz w:val="22"/>
          <w:szCs w:val="22"/>
        </w:rPr>
      </w:pPr>
      <w:r>
        <w:rPr>
          <w:rFonts w:ascii="Cambria" w:eastAsia="Cambria" w:hAnsi="Cambria" w:cs="Cambria"/>
          <w:sz w:val="22"/>
          <w:szCs w:val="22"/>
          <w:highlight w:val="white"/>
        </w:rPr>
        <w:t>En concordancia con la normativa i</w:t>
      </w:r>
      <w:r>
        <w:rPr>
          <w:rFonts w:ascii="Cambria" w:eastAsia="Cambria" w:hAnsi="Cambria" w:cs="Cambria"/>
          <w:sz w:val="22"/>
          <w:szCs w:val="22"/>
          <w:highlight w:val="white"/>
        </w:rPr>
        <w:t xml:space="preserve">nternacional, nuestro sistema jurídico ha incorporado en los últimos años leyes como: </w:t>
      </w:r>
    </w:p>
    <w:p w:rsidR="00AB7587" w:rsidRDefault="006462C3" w:rsidP="00A95D2F">
      <w:pPr>
        <w:pStyle w:val="normal0"/>
        <w:shd w:val="clear" w:color="auto" w:fill="FFFFFF"/>
        <w:spacing w:line="360" w:lineRule="auto"/>
        <w:ind w:left="1276" w:right="-93"/>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1)La</w:t>
      </w:r>
      <w:proofErr w:type="gramEnd"/>
      <w:r>
        <w:rPr>
          <w:rFonts w:ascii="Cambria" w:eastAsia="Cambria" w:hAnsi="Cambria" w:cs="Cambria"/>
          <w:sz w:val="22"/>
          <w:szCs w:val="22"/>
          <w:highlight w:val="white"/>
        </w:rPr>
        <w:t xml:space="preserve"> Ley N° 20.609,</w:t>
      </w:r>
      <w:r w:rsidR="00A95D2F">
        <w:rPr>
          <w:rFonts w:ascii="Cambria" w:eastAsia="Cambria" w:hAnsi="Cambria" w:cs="Cambria"/>
          <w:sz w:val="22"/>
          <w:szCs w:val="22"/>
          <w:highlight w:val="white"/>
        </w:rPr>
        <w:t xml:space="preserve"> </w:t>
      </w:r>
      <w:r>
        <w:rPr>
          <w:rFonts w:ascii="Cambria" w:eastAsia="Cambria" w:hAnsi="Cambria" w:cs="Cambria"/>
          <w:sz w:val="22"/>
          <w:szCs w:val="22"/>
          <w:highlight w:val="white"/>
        </w:rPr>
        <w:t xml:space="preserve">en el año 2012,  que “Estable medidas contra la </w:t>
      </w:r>
      <w:r w:rsidR="00A95D2F">
        <w:rPr>
          <w:rFonts w:ascii="Cambria" w:eastAsia="Cambria" w:hAnsi="Cambria" w:cs="Cambria"/>
          <w:sz w:val="22"/>
          <w:szCs w:val="22"/>
          <w:highlight w:val="white"/>
        </w:rPr>
        <w:t>discriminación</w:t>
      </w:r>
      <w:r>
        <w:rPr>
          <w:rFonts w:ascii="Cambria" w:eastAsia="Cambria" w:hAnsi="Cambria" w:cs="Cambria"/>
          <w:sz w:val="22"/>
          <w:szCs w:val="22"/>
          <w:highlight w:val="white"/>
        </w:rPr>
        <w:t xml:space="preserve">”, conocida como “Ley Zamudio” porque fue en respuesta a uno </w:t>
      </w:r>
      <w:r w:rsidR="00A95D2F">
        <w:rPr>
          <w:rFonts w:ascii="Cambria" w:eastAsia="Cambria" w:hAnsi="Cambria" w:cs="Cambria"/>
          <w:sz w:val="22"/>
          <w:szCs w:val="22"/>
          <w:highlight w:val="white"/>
        </w:rPr>
        <w:t xml:space="preserve">  </w:t>
      </w:r>
      <w:r>
        <w:rPr>
          <w:rFonts w:ascii="Cambria" w:eastAsia="Cambria" w:hAnsi="Cambria" w:cs="Cambria"/>
          <w:sz w:val="22"/>
          <w:szCs w:val="22"/>
          <w:highlight w:val="white"/>
        </w:rPr>
        <w:t xml:space="preserve">de los casos más atroces de </w:t>
      </w:r>
      <w:r>
        <w:rPr>
          <w:rFonts w:ascii="Cambria" w:eastAsia="Cambria" w:hAnsi="Cambria" w:cs="Cambria"/>
          <w:sz w:val="22"/>
          <w:szCs w:val="22"/>
          <w:highlight w:val="white"/>
        </w:rPr>
        <w:t>violencia en contra de una persona</w:t>
      </w:r>
      <w:r w:rsidR="00A95D2F">
        <w:rPr>
          <w:rFonts w:ascii="Cambria" w:eastAsia="Cambria" w:hAnsi="Cambria" w:cs="Cambria"/>
          <w:sz w:val="22"/>
          <w:szCs w:val="22"/>
          <w:highlight w:val="white"/>
        </w:rPr>
        <w:t>, Daniel Zamudio,</w:t>
      </w:r>
      <w:r>
        <w:rPr>
          <w:rFonts w:ascii="Cambria" w:eastAsia="Cambria" w:hAnsi="Cambria" w:cs="Cambria"/>
          <w:sz w:val="22"/>
          <w:szCs w:val="22"/>
          <w:highlight w:val="white"/>
        </w:rPr>
        <w:t xml:space="preserve"> por su orientación sexual. </w:t>
      </w:r>
    </w:p>
    <w:p w:rsidR="00AB7587" w:rsidRDefault="006462C3" w:rsidP="00A95D2F">
      <w:pPr>
        <w:pStyle w:val="normal0"/>
        <w:shd w:val="clear" w:color="auto" w:fill="FFFFFF"/>
        <w:spacing w:line="360" w:lineRule="auto"/>
        <w:ind w:left="1276" w:right="-93"/>
        <w:jc w:val="both"/>
        <w:rPr>
          <w:rFonts w:ascii="Cambria" w:eastAsia="Cambria" w:hAnsi="Cambria" w:cs="Cambria"/>
          <w:i/>
          <w:sz w:val="22"/>
          <w:szCs w:val="22"/>
          <w:highlight w:val="white"/>
        </w:rPr>
      </w:pPr>
      <w:r>
        <w:rPr>
          <w:rFonts w:ascii="Cambria" w:eastAsia="Cambria" w:hAnsi="Cambria" w:cs="Cambria"/>
          <w:sz w:val="22"/>
          <w:szCs w:val="22"/>
          <w:highlight w:val="white"/>
        </w:rPr>
        <w:t>2) La Ley N° 21.120, que “Reconoce y da protección al Derecho a la Identidad de Género” Esta última consagra, en su artículo primero, que se</w:t>
      </w:r>
      <w:r>
        <w:rPr>
          <w:rFonts w:ascii="Cambria" w:eastAsia="Cambria" w:hAnsi="Cambria" w:cs="Cambria"/>
          <w:i/>
          <w:sz w:val="22"/>
          <w:szCs w:val="22"/>
          <w:highlight w:val="white"/>
        </w:rPr>
        <w:t xml:space="preserve"> “entenderá por identidad de género la convicción per</w:t>
      </w:r>
      <w:r>
        <w:rPr>
          <w:rFonts w:ascii="Cambria" w:eastAsia="Cambria" w:hAnsi="Cambria" w:cs="Cambria"/>
          <w:i/>
          <w:sz w:val="22"/>
          <w:szCs w:val="22"/>
          <w:highlight w:val="white"/>
        </w:rPr>
        <w:t>sonal e interna de ser hombre o mujer, tal como la persona se percibe a sí misma, la cual puede corresponder o no con el sexo</w:t>
      </w:r>
      <w:r w:rsidR="00A95D2F">
        <w:rPr>
          <w:rFonts w:ascii="Cambria" w:eastAsia="Cambria" w:hAnsi="Cambria" w:cs="Cambria"/>
          <w:i/>
          <w:sz w:val="22"/>
          <w:szCs w:val="22"/>
          <w:highlight w:val="white"/>
        </w:rPr>
        <w:t xml:space="preserve"> </w:t>
      </w:r>
      <w:r>
        <w:rPr>
          <w:rFonts w:ascii="Cambria" w:eastAsia="Cambria" w:hAnsi="Cambria" w:cs="Cambria"/>
          <w:i/>
          <w:sz w:val="22"/>
          <w:szCs w:val="22"/>
          <w:highlight w:val="white"/>
        </w:rPr>
        <w:t xml:space="preserve"> y nombre verificados en el acta de inscripción del nacimiento.” </w:t>
      </w:r>
    </w:p>
    <w:p w:rsidR="00AB7587" w:rsidRDefault="006462C3" w:rsidP="00A95D2F">
      <w:pPr>
        <w:pStyle w:val="normal0"/>
        <w:numPr>
          <w:ilvl w:val="0"/>
          <w:numId w:val="2"/>
        </w:numPr>
        <w:shd w:val="clear" w:color="auto" w:fill="FFFFFF"/>
        <w:spacing w:line="360" w:lineRule="auto"/>
        <w:ind w:left="1276" w:right="-93"/>
        <w:jc w:val="both"/>
        <w:rPr>
          <w:rFonts w:ascii="Cambria" w:eastAsia="Cambria" w:hAnsi="Cambria" w:cs="Cambria"/>
          <w:sz w:val="22"/>
          <w:szCs w:val="22"/>
        </w:rPr>
      </w:pPr>
      <w:r>
        <w:rPr>
          <w:rFonts w:ascii="Cambria" w:eastAsia="Cambria" w:hAnsi="Cambria" w:cs="Cambria"/>
          <w:sz w:val="22"/>
          <w:szCs w:val="22"/>
          <w:highlight w:val="white"/>
        </w:rPr>
        <w:t>En el ar</w:t>
      </w:r>
      <w:r>
        <w:rPr>
          <w:rFonts w:ascii="Cambria" w:eastAsia="Cambria" w:hAnsi="Cambria" w:cs="Cambria"/>
          <w:sz w:val="22"/>
          <w:szCs w:val="22"/>
          <w:highlight w:val="white"/>
        </w:rPr>
        <w:t>tículo 5° de la ley que “Reconoce y da protección al Derecho a la Identidad de Género” se establecen los Principios relativos al derecho a la identidad de Género. En él se consagra,  en relación a los niños, niñas y adolescentes:</w:t>
      </w:r>
    </w:p>
    <w:p w:rsidR="00AB7587" w:rsidRDefault="006462C3" w:rsidP="00A95D2F">
      <w:pPr>
        <w:pStyle w:val="normal0"/>
        <w:shd w:val="clear" w:color="auto" w:fill="FFFFFF"/>
        <w:spacing w:line="360" w:lineRule="auto"/>
        <w:ind w:left="1276" w:right="-93"/>
        <w:jc w:val="both"/>
        <w:rPr>
          <w:rFonts w:ascii="Cambria" w:eastAsia="Cambria" w:hAnsi="Cambria" w:cs="Cambria"/>
          <w:i/>
          <w:sz w:val="22"/>
          <w:szCs w:val="22"/>
          <w:highlight w:val="white"/>
        </w:rPr>
      </w:pPr>
      <w:r>
        <w:rPr>
          <w:rFonts w:ascii="Cambria" w:eastAsia="Cambria" w:hAnsi="Cambria" w:cs="Cambria"/>
          <w:i/>
          <w:sz w:val="22"/>
          <w:szCs w:val="22"/>
          <w:highlight w:val="white"/>
        </w:rPr>
        <w:lastRenderedPageBreak/>
        <w:t xml:space="preserve">“e) Principio del interés </w:t>
      </w:r>
      <w:r>
        <w:rPr>
          <w:rFonts w:ascii="Cambria" w:eastAsia="Cambria" w:hAnsi="Cambria" w:cs="Cambria"/>
          <w:i/>
          <w:sz w:val="22"/>
          <w:szCs w:val="22"/>
          <w:highlight w:val="white"/>
        </w:rPr>
        <w:t>superior del niño: los órganos del Estado garantizarán a todos los niños, niñas y adolescentes la máxima satisfacción en el ejercicio y goce pleno y efectivo de sus derechos y garantías, en los términos del artículo 3 de la Convención sobre los Derechos de</w:t>
      </w:r>
      <w:r>
        <w:rPr>
          <w:rFonts w:ascii="Cambria" w:eastAsia="Cambria" w:hAnsi="Cambria" w:cs="Cambria"/>
          <w:i/>
          <w:sz w:val="22"/>
          <w:szCs w:val="22"/>
          <w:highlight w:val="white"/>
        </w:rPr>
        <w:t>l Niño.</w:t>
      </w:r>
    </w:p>
    <w:p w:rsidR="00AB7587" w:rsidRDefault="006462C3" w:rsidP="00A95D2F">
      <w:pPr>
        <w:pStyle w:val="normal0"/>
        <w:shd w:val="clear" w:color="auto" w:fill="FFFFFF"/>
        <w:spacing w:line="360" w:lineRule="auto"/>
        <w:ind w:left="1276" w:right="-93"/>
        <w:jc w:val="both"/>
        <w:rPr>
          <w:rFonts w:ascii="Cambria" w:eastAsia="Cambria" w:hAnsi="Cambria" w:cs="Cambria"/>
          <w:i/>
          <w:sz w:val="22"/>
          <w:szCs w:val="22"/>
          <w:highlight w:val="white"/>
        </w:rPr>
      </w:pPr>
      <w:r>
        <w:rPr>
          <w:rFonts w:ascii="Cambria" w:eastAsia="Cambria" w:hAnsi="Cambria" w:cs="Cambria"/>
          <w:i/>
          <w:sz w:val="22"/>
          <w:szCs w:val="22"/>
          <w:highlight w:val="white"/>
        </w:rPr>
        <w:t xml:space="preserve">f) Principio de la autonomía progresiva: todo niño, niña o adolescente podrá </w:t>
      </w:r>
      <w:r w:rsidR="00A95D2F">
        <w:rPr>
          <w:rFonts w:ascii="Cambria" w:eastAsia="Cambria" w:hAnsi="Cambria" w:cs="Cambria"/>
          <w:i/>
          <w:sz w:val="22"/>
          <w:szCs w:val="22"/>
          <w:highlight w:val="white"/>
        </w:rPr>
        <w:t xml:space="preserve"> </w:t>
      </w:r>
      <w:r>
        <w:rPr>
          <w:rFonts w:ascii="Cambria" w:eastAsia="Cambria" w:hAnsi="Cambria" w:cs="Cambria"/>
          <w:i/>
          <w:sz w:val="22"/>
          <w:szCs w:val="22"/>
          <w:highlight w:val="white"/>
        </w:rPr>
        <w:t>ejercer sus derechos por sí mismo, en consonancia con la evolución de sus facultades, su edad y madurez.</w:t>
      </w:r>
    </w:p>
    <w:p w:rsidR="00AB7587" w:rsidRDefault="006462C3" w:rsidP="00A95D2F">
      <w:pPr>
        <w:pStyle w:val="normal0"/>
        <w:shd w:val="clear" w:color="auto" w:fill="FFFFFF"/>
        <w:spacing w:line="360" w:lineRule="auto"/>
        <w:ind w:left="1276" w:right="-93"/>
        <w:jc w:val="both"/>
        <w:rPr>
          <w:rFonts w:ascii="Cambria" w:eastAsia="Cambria" w:hAnsi="Cambria" w:cs="Cambria"/>
          <w:sz w:val="22"/>
          <w:szCs w:val="22"/>
        </w:rPr>
      </w:pPr>
      <w:r>
        <w:rPr>
          <w:rFonts w:ascii="Cambria" w:eastAsia="Cambria" w:hAnsi="Cambria" w:cs="Cambria"/>
          <w:i/>
          <w:sz w:val="22"/>
          <w:szCs w:val="22"/>
          <w:highlight w:val="white"/>
        </w:rPr>
        <w:t>El padre, madre, representante legal o quien tenga legalmente el c</w:t>
      </w:r>
      <w:r>
        <w:rPr>
          <w:rFonts w:ascii="Cambria" w:eastAsia="Cambria" w:hAnsi="Cambria" w:cs="Cambria"/>
          <w:i/>
          <w:sz w:val="22"/>
          <w:szCs w:val="22"/>
          <w:highlight w:val="white"/>
        </w:rPr>
        <w:t>uidado personal del niño, niña o adolescente deberá prestarle orientación y dirección en el ejercicio de los derechos que contempla esta ley</w:t>
      </w:r>
      <w:r>
        <w:rPr>
          <w:rFonts w:ascii="Courier New" w:eastAsia="Courier New" w:hAnsi="Courier New" w:cs="Courier New"/>
          <w:i/>
          <w:color w:val="666666"/>
          <w:sz w:val="18"/>
          <w:szCs w:val="18"/>
          <w:highlight w:val="white"/>
        </w:rPr>
        <w:t>.”</w:t>
      </w:r>
    </w:p>
    <w:p w:rsidR="00AB7587" w:rsidRDefault="006462C3" w:rsidP="00A95D2F">
      <w:pPr>
        <w:pStyle w:val="normal0"/>
        <w:numPr>
          <w:ilvl w:val="0"/>
          <w:numId w:val="2"/>
        </w:numPr>
        <w:pBdr>
          <w:top w:val="nil"/>
          <w:left w:val="nil"/>
          <w:bottom w:val="nil"/>
          <w:right w:val="nil"/>
          <w:between w:val="nil"/>
        </w:pBdr>
        <w:spacing w:after="240" w:line="360" w:lineRule="auto"/>
        <w:ind w:left="1276" w:right="-93"/>
        <w:jc w:val="both"/>
        <w:rPr>
          <w:rFonts w:ascii="Cambria" w:eastAsia="Cambria" w:hAnsi="Cambria" w:cs="Cambria"/>
          <w:color w:val="000000"/>
          <w:sz w:val="22"/>
          <w:szCs w:val="22"/>
        </w:rPr>
      </w:pPr>
      <w:r>
        <w:rPr>
          <w:rFonts w:ascii="Cambria" w:eastAsia="Cambria" w:hAnsi="Cambria" w:cs="Cambria"/>
          <w:color w:val="000000"/>
          <w:sz w:val="22"/>
          <w:szCs w:val="22"/>
        </w:rPr>
        <w:t>Los niños, niñas y adolescentes en una situación particular -que los pueda hacer objeto de una doble vulnerabilid</w:t>
      </w:r>
      <w:r>
        <w:rPr>
          <w:rFonts w:ascii="Cambria" w:eastAsia="Cambria" w:hAnsi="Cambria" w:cs="Cambria"/>
          <w:color w:val="000000"/>
          <w:sz w:val="22"/>
          <w:szCs w:val="22"/>
        </w:rPr>
        <w:t>ad-  generan la obligación estatal de mejorar los estándares de protección para reubicarlos en una situación de equivalencia con los demás niños, aquellos que no están en esta doble o triple situación de vulnerabilidad. Cualquier situación de riesgo inmine</w:t>
      </w:r>
      <w:r>
        <w:rPr>
          <w:rFonts w:ascii="Cambria" w:eastAsia="Cambria" w:hAnsi="Cambria" w:cs="Cambria"/>
          <w:color w:val="000000"/>
          <w:sz w:val="22"/>
          <w:szCs w:val="22"/>
        </w:rPr>
        <w:t xml:space="preserve">nte para un niño, niña o adolescente que importe la posibilidad de sufrir un maltrato, aún cuando éste no se haya llevado a cabo, debe hacer que todo el aparato estatal adopte las medidas de protección que correspondan. El presente proyecto de ley viene a </w:t>
      </w:r>
      <w:r>
        <w:rPr>
          <w:rFonts w:ascii="Cambria" w:eastAsia="Cambria" w:hAnsi="Cambria" w:cs="Cambria"/>
          <w:color w:val="000000"/>
          <w:sz w:val="22"/>
          <w:szCs w:val="22"/>
        </w:rPr>
        <w:t xml:space="preserve">consolidar esta idea y a proponer un nuevo marco de protección para los derechos de nuestros niños, niñas y adolescentes.  </w:t>
      </w:r>
    </w:p>
    <w:p w:rsidR="00AB7587" w:rsidRDefault="006462C3">
      <w:pPr>
        <w:pStyle w:val="normal0"/>
        <w:widowControl w:val="0"/>
        <w:pBdr>
          <w:top w:val="nil"/>
          <w:left w:val="nil"/>
          <w:bottom w:val="nil"/>
          <w:right w:val="nil"/>
          <w:between w:val="nil"/>
        </w:pBdr>
        <w:spacing w:after="240" w:line="360" w:lineRule="auto"/>
        <w:rPr>
          <w:rFonts w:ascii="Cambria" w:eastAsia="Cambria" w:hAnsi="Cambria" w:cs="Cambria"/>
          <w:b/>
          <w:color w:val="000000"/>
          <w:sz w:val="22"/>
          <w:szCs w:val="22"/>
          <w:u w:val="single"/>
        </w:rPr>
      </w:pPr>
      <w:r>
        <w:rPr>
          <w:rFonts w:ascii="Cambria" w:eastAsia="Cambria" w:hAnsi="Cambria" w:cs="Cambria"/>
          <w:b/>
          <w:color w:val="000000"/>
          <w:sz w:val="22"/>
          <w:szCs w:val="22"/>
          <w:u w:val="single"/>
        </w:rPr>
        <w:t>IDEA MATRIZ</w:t>
      </w:r>
    </w:p>
    <w:p w:rsidR="00AB7587" w:rsidRDefault="006462C3">
      <w:pPr>
        <w:pStyle w:val="normal0"/>
        <w:widowControl w:val="0"/>
        <w:pBdr>
          <w:top w:val="nil"/>
          <w:left w:val="nil"/>
          <w:bottom w:val="nil"/>
          <w:right w:val="nil"/>
          <w:between w:val="nil"/>
        </w:pBdr>
        <w:spacing w:after="240" w:line="360" w:lineRule="auto"/>
        <w:jc w:val="both"/>
        <w:rPr>
          <w:rFonts w:ascii="Calibri" w:eastAsia="Calibri" w:hAnsi="Calibri" w:cs="Calibri"/>
          <w:color w:val="000000"/>
          <w:sz w:val="22"/>
          <w:szCs w:val="22"/>
        </w:rPr>
      </w:pPr>
      <w:bookmarkStart w:id="0" w:name="_gjdgxs" w:colFirst="0" w:colLast="0"/>
      <w:bookmarkEnd w:id="0"/>
      <w:r>
        <w:rPr>
          <w:rFonts w:ascii="Cambria" w:eastAsia="Cambria" w:hAnsi="Cambria" w:cs="Cambria"/>
          <w:color w:val="000000"/>
          <w:sz w:val="22"/>
          <w:szCs w:val="22"/>
        </w:rPr>
        <w:t xml:space="preserve">Modificar la Ley N° 20.066 sobre Violencia Intrafamiliar y la Ley N° 20.609 para regular y sancionar los actos ejecutados en </w:t>
      </w:r>
      <w:proofErr w:type="gramStart"/>
      <w:r>
        <w:rPr>
          <w:rFonts w:ascii="Cambria" w:eastAsia="Cambria" w:hAnsi="Cambria" w:cs="Cambria"/>
          <w:color w:val="000000"/>
          <w:sz w:val="22"/>
          <w:szCs w:val="22"/>
        </w:rPr>
        <w:t>el seno familiar o educacional destinados</w:t>
      </w:r>
      <w:proofErr w:type="gramEnd"/>
      <w:r>
        <w:rPr>
          <w:rFonts w:ascii="Cambria" w:eastAsia="Cambria" w:hAnsi="Cambria" w:cs="Cambria"/>
          <w:color w:val="000000"/>
          <w:sz w:val="22"/>
          <w:szCs w:val="22"/>
        </w:rPr>
        <w:t xml:space="preserve"> a modificar</w:t>
      </w:r>
      <w:r>
        <w:rPr>
          <w:rFonts w:ascii="Cambria" w:eastAsia="Cambria" w:hAnsi="Cambria" w:cs="Cambria"/>
          <w:color w:val="000000"/>
          <w:sz w:val="22"/>
          <w:szCs w:val="22"/>
        </w:rPr>
        <w:t xml:space="preserve"> la orientación sexual y la identidad y/o expresión de género de los niños, ni</w:t>
      </w:r>
      <w:r>
        <w:rPr>
          <w:rFonts w:ascii="Cambria" w:eastAsia="Cambria" w:hAnsi="Cambria" w:cs="Cambria"/>
          <w:color w:val="000000"/>
          <w:sz w:val="22"/>
          <w:szCs w:val="22"/>
        </w:rPr>
        <w:t xml:space="preserve">ñas y adolescentes  </w:t>
      </w:r>
    </w:p>
    <w:p w:rsidR="00AB7587" w:rsidRDefault="00AB7587">
      <w:pPr>
        <w:pStyle w:val="normal0"/>
        <w:widowControl w:val="0"/>
        <w:pBdr>
          <w:top w:val="nil"/>
          <w:left w:val="nil"/>
          <w:bottom w:val="nil"/>
          <w:right w:val="nil"/>
          <w:between w:val="nil"/>
        </w:pBdr>
        <w:spacing w:after="240" w:line="360" w:lineRule="auto"/>
        <w:jc w:val="center"/>
        <w:rPr>
          <w:rFonts w:ascii="Calibri" w:eastAsia="Calibri" w:hAnsi="Calibri" w:cs="Calibri"/>
          <w:color w:val="000000"/>
          <w:sz w:val="22"/>
          <w:szCs w:val="22"/>
        </w:rPr>
      </w:pPr>
    </w:p>
    <w:p w:rsidR="00AB7587" w:rsidRDefault="00A95D2F">
      <w:pPr>
        <w:pStyle w:val="normal0"/>
        <w:widowControl w:val="0"/>
        <w:pBdr>
          <w:top w:val="nil"/>
          <w:left w:val="nil"/>
          <w:bottom w:val="nil"/>
          <w:right w:val="nil"/>
          <w:between w:val="nil"/>
        </w:pBdr>
        <w:spacing w:after="240" w:line="360" w:lineRule="auto"/>
        <w:jc w:val="center"/>
        <w:rPr>
          <w:rFonts w:ascii="Calibri" w:eastAsia="Calibri" w:hAnsi="Calibri" w:cs="Calibri"/>
          <w:color w:val="000000"/>
          <w:sz w:val="22"/>
          <w:szCs w:val="22"/>
        </w:rPr>
      </w:pPr>
      <w:r>
        <w:rPr>
          <w:rFonts w:ascii="Calibri" w:eastAsia="Calibri" w:hAnsi="Calibri" w:cs="Calibri"/>
          <w:color w:val="000000"/>
          <w:sz w:val="22"/>
          <w:szCs w:val="22"/>
        </w:rPr>
        <w:br w:type="page"/>
      </w:r>
    </w:p>
    <w:p w:rsidR="00AB7587" w:rsidRDefault="00AB7587">
      <w:pPr>
        <w:pStyle w:val="normal0"/>
        <w:widowControl w:val="0"/>
        <w:pBdr>
          <w:top w:val="nil"/>
          <w:left w:val="nil"/>
          <w:bottom w:val="nil"/>
          <w:right w:val="nil"/>
          <w:between w:val="nil"/>
        </w:pBdr>
        <w:spacing w:after="240" w:line="360" w:lineRule="auto"/>
        <w:jc w:val="center"/>
        <w:rPr>
          <w:rFonts w:ascii="Calibri" w:eastAsia="Calibri" w:hAnsi="Calibri" w:cs="Calibri"/>
          <w:color w:val="000000"/>
          <w:sz w:val="22"/>
          <w:szCs w:val="22"/>
        </w:rPr>
      </w:pPr>
    </w:p>
    <w:p w:rsidR="00AB7587" w:rsidRDefault="006462C3">
      <w:pPr>
        <w:pStyle w:val="normal0"/>
        <w:widowControl w:val="0"/>
        <w:pBdr>
          <w:top w:val="nil"/>
          <w:left w:val="nil"/>
          <w:bottom w:val="nil"/>
          <w:right w:val="nil"/>
          <w:between w:val="nil"/>
        </w:pBdr>
        <w:spacing w:after="240" w:line="360" w:lineRule="auto"/>
        <w:jc w:val="center"/>
        <w:rPr>
          <w:rFonts w:ascii="Cambria" w:eastAsia="Cambria" w:hAnsi="Cambria" w:cs="Cambria"/>
          <w:b/>
          <w:color w:val="000000"/>
          <w:sz w:val="22"/>
          <w:szCs w:val="22"/>
          <w:u w:val="single"/>
        </w:rPr>
      </w:pPr>
      <w:r>
        <w:rPr>
          <w:rFonts w:ascii="Cambria" w:eastAsia="Cambria" w:hAnsi="Cambria" w:cs="Cambria"/>
          <w:b/>
          <w:color w:val="000000"/>
          <w:sz w:val="22"/>
          <w:szCs w:val="22"/>
          <w:u w:val="single"/>
        </w:rPr>
        <w:t>PROYECTO DE LEY</w:t>
      </w:r>
    </w:p>
    <w:p w:rsidR="00AB7587" w:rsidRDefault="006462C3">
      <w:pPr>
        <w:pStyle w:val="normal0"/>
        <w:widowControl w:val="0"/>
        <w:pBdr>
          <w:top w:val="nil"/>
          <w:left w:val="nil"/>
          <w:bottom w:val="nil"/>
          <w:right w:val="nil"/>
          <w:between w:val="nil"/>
        </w:pBdr>
        <w:spacing w:after="240" w:line="360" w:lineRule="auto"/>
        <w:jc w:val="both"/>
        <w:rPr>
          <w:rFonts w:ascii="Cambria" w:eastAsia="Cambria" w:hAnsi="Cambria" w:cs="Cambria"/>
          <w:b/>
          <w:color w:val="000000"/>
          <w:sz w:val="22"/>
          <w:szCs w:val="22"/>
          <w:u w:val="single"/>
        </w:rPr>
      </w:pPr>
      <w:r>
        <w:rPr>
          <w:rFonts w:ascii="Cambria" w:eastAsia="Cambria" w:hAnsi="Cambria" w:cs="Cambria"/>
          <w:b/>
          <w:color w:val="000000"/>
          <w:sz w:val="22"/>
          <w:szCs w:val="22"/>
        </w:rPr>
        <w:t xml:space="preserve">Artículo 1: Introdúzcanse las siguientes modificaciones a la Ley N° 20.066 sobre Violencia Intrafamiliar </w:t>
      </w:r>
    </w:p>
    <w:p w:rsidR="00AB7587" w:rsidRDefault="006462C3" w:rsidP="00A95D2F">
      <w:pPr>
        <w:pStyle w:val="normal0"/>
        <w:numPr>
          <w:ilvl w:val="0"/>
          <w:numId w:val="4"/>
        </w:numPr>
        <w:pBdr>
          <w:top w:val="nil"/>
          <w:left w:val="nil"/>
          <w:bottom w:val="nil"/>
          <w:right w:val="nil"/>
          <w:between w:val="nil"/>
        </w:pBdr>
        <w:spacing w:line="360" w:lineRule="auto"/>
        <w:ind w:left="1134"/>
        <w:rPr>
          <w:rFonts w:ascii="Cambria" w:eastAsia="Cambria" w:hAnsi="Cambria" w:cs="Cambria"/>
          <w:color w:val="000000"/>
          <w:sz w:val="22"/>
          <w:szCs w:val="22"/>
        </w:rPr>
      </w:pPr>
      <w:bookmarkStart w:id="1" w:name="_30j0zll" w:colFirst="0" w:colLast="0"/>
      <w:bookmarkEnd w:id="1"/>
      <w:r>
        <w:rPr>
          <w:rFonts w:ascii="Cambria" w:eastAsia="Cambria" w:hAnsi="Cambria" w:cs="Cambria"/>
          <w:color w:val="000000"/>
          <w:sz w:val="22"/>
          <w:szCs w:val="22"/>
        </w:rPr>
        <w:t>Agréguese, un nuevo inciso final al artículo 5°, del siguiente tenor:</w:t>
      </w:r>
    </w:p>
    <w:p w:rsidR="00AB7587" w:rsidRDefault="006462C3" w:rsidP="00A95D2F">
      <w:pPr>
        <w:pStyle w:val="normal0"/>
        <w:pBdr>
          <w:top w:val="nil"/>
          <w:left w:val="nil"/>
          <w:bottom w:val="nil"/>
          <w:right w:val="nil"/>
          <w:between w:val="nil"/>
        </w:pBdr>
        <w:spacing w:line="360"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“Será constitutivo de violencia intrafamiliar también, toda acción, distinción, exclusión o restricción que implique una afectación de derechos de niños, niñas,</w:t>
      </w:r>
      <w:r w:rsidR="00A95D2F">
        <w:rPr>
          <w:rFonts w:ascii="Cambria" w:eastAsia="Cambria" w:hAnsi="Cambria" w:cs="Cambria"/>
          <w:color w:val="000000"/>
          <w:sz w:val="22"/>
          <w:szCs w:val="22"/>
        </w:rPr>
        <w:t xml:space="preserve">  </w:t>
      </w:r>
      <w:r>
        <w:rPr>
          <w:rFonts w:ascii="Cambria" w:eastAsia="Cambria" w:hAnsi="Cambria" w:cs="Cambria"/>
          <w:color w:val="000000"/>
          <w:sz w:val="22"/>
          <w:szCs w:val="22"/>
        </w:rPr>
        <w:t xml:space="preserve"> o adolescentes, desarrolladas por los padres o por quienes ejerzan su cuidado personal, con el </w:t>
      </w:r>
      <w:r>
        <w:rPr>
          <w:rFonts w:ascii="Cambria" w:eastAsia="Cambria" w:hAnsi="Cambria" w:cs="Cambria"/>
          <w:color w:val="000000"/>
          <w:sz w:val="22"/>
          <w:szCs w:val="22"/>
        </w:rPr>
        <w:t>objeto de modificar la orientación sexual, la identidad y/o expresión de género, amparadas o no en fundamentos como el respeto a la</w:t>
      </w:r>
      <w:r w:rsidR="00A95D2F">
        <w:rPr>
          <w:rFonts w:ascii="Cambria" w:eastAsia="Cambria" w:hAnsi="Cambria" w:cs="Cambria"/>
          <w:color w:val="000000"/>
          <w:sz w:val="22"/>
          <w:szCs w:val="22"/>
        </w:rPr>
        <w:t xml:space="preserve">  </w:t>
      </w:r>
      <w:r>
        <w:rPr>
          <w:rFonts w:ascii="Cambria" w:eastAsia="Cambria" w:hAnsi="Cambria" w:cs="Cambria"/>
          <w:color w:val="000000"/>
          <w:sz w:val="22"/>
          <w:szCs w:val="22"/>
        </w:rPr>
        <w:t xml:space="preserve"> moral, las buenas costumbres y/o estereotipos de género.” </w:t>
      </w:r>
    </w:p>
    <w:p w:rsidR="00AB7587" w:rsidRDefault="00AB7587" w:rsidP="00A95D2F">
      <w:pPr>
        <w:pStyle w:val="normal0"/>
        <w:pBdr>
          <w:top w:val="nil"/>
          <w:left w:val="nil"/>
          <w:bottom w:val="nil"/>
          <w:right w:val="nil"/>
          <w:between w:val="nil"/>
        </w:pBdr>
        <w:spacing w:line="360" w:lineRule="auto"/>
        <w:ind w:left="1134" w:hanging="720"/>
        <w:jc w:val="both"/>
        <w:rPr>
          <w:rFonts w:ascii="Cambria" w:eastAsia="Cambria" w:hAnsi="Cambria" w:cs="Cambria"/>
          <w:color w:val="000000"/>
          <w:sz w:val="22"/>
          <w:szCs w:val="22"/>
        </w:rPr>
      </w:pPr>
    </w:p>
    <w:p w:rsidR="00AB7587" w:rsidRDefault="006462C3" w:rsidP="00A95D2F">
      <w:pPr>
        <w:pStyle w:val="normal0"/>
        <w:numPr>
          <w:ilvl w:val="0"/>
          <w:numId w:val="4"/>
        </w:numPr>
        <w:pBdr>
          <w:top w:val="nil"/>
          <w:left w:val="nil"/>
          <w:bottom w:val="nil"/>
          <w:right w:val="nil"/>
          <w:between w:val="nil"/>
        </w:pBdr>
        <w:spacing w:line="360"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Agréguese, después del punto final del último inciso del artícul</w:t>
      </w:r>
      <w:r>
        <w:rPr>
          <w:rFonts w:ascii="Cambria" w:eastAsia="Cambria" w:hAnsi="Cambria" w:cs="Cambria"/>
          <w:color w:val="000000"/>
          <w:sz w:val="22"/>
          <w:szCs w:val="22"/>
        </w:rPr>
        <w:t xml:space="preserve">o 7°, que pasa a </w:t>
      </w:r>
      <w:r w:rsidR="00EC7DEC">
        <w:rPr>
          <w:rFonts w:ascii="Cambria" w:eastAsia="Cambria" w:hAnsi="Cambria" w:cs="Cambria"/>
          <w:color w:val="000000"/>
          <w:sz w:val="22"/>
          <w:szCs w:val="22"/>
        </w:rPr>
        <w:t xml:space="preserve">  </w:t>
      </w:r>
      <w:r>
        <w:rPr>
          <w:rFonts w:ascii="Cambria" w:eastAsia="Cambria" w:hAnsi="Cambria" w:cs="Cambria"/>
          <w:color w:val="000000"/>
          <w:sz w:val="22"/>
          <w:szCs w:val="22"/>
        </w:rPr>
        <w:t>ser un punto seguido, la siguiente oración:</w:t>
      </w:r>
    </w:p>
    <w:p w:rsidR="00AB7587" w:rsidRDefault="006462C3" w:rsidP="00A95D2F">
      <w:pPr>
        <w:pStyle w:val="normal0"/>
        <w:widowControl w:val="0"/>
        <w:pBdr>
          <w:top w:val="nil"/>
          <w:left w:val="nil"/>
          <w:bottom w:val="nil"/>
          <w:right w:val="nil"/>
          <w:between w:val="nil"/>
        </w:pBdr>
        <w:spacing w:after="240" w:line="360" w:lineRule="auto"/>
        <w:ind w:left="1134"/>
        <w:jc w:val="both"/>
        <w:rPr>
          <w:rFonts w:ascii="Cambria" w:eastAsia="Cambria" w:hAnsi="Cambria" w:cs="Cambria"/>
          <w:color w:val="000000"/>
          <w:sz w:val="22"/>
          <w:szCs w:val="22"/>
        </w:rPr>
      </w:pPr>
      <w:r>
        <w:rPr>
          <w:rFonts w:ascii="Cambria" w:eastAsia="Cambria" w:hAnsi="Cambria" w:cs="Cambria"/>
          <w:color w:val="000000"/>
          <w:sz w:val="22"/>
          <w:szCs w:val="22"/>
        </w:rPr>
        <w:t>“Se considerará también especialmente como situación de riesgo inminente el hecho de que un niño, niña o adolescentes sea afectado en sus derechos en razón de su orientación sexual  o de su  identidad y/o expresión de género.”</w:t>
      </w:r>
    </w:p>
    <w:p w:rsidR="00AB7587" w:rsidRDefault="006462C3">
      <w:pPr>
        <w:pStyle w:val="normal0"/>
        <w:widowControl w:val="0"/>
        <w:pBdr>
          <w:top w:val="nil"/>
          <w:left w:val="nil"/>
          <w:bottom w:val="nil"/>
          <w:right w:val="nil"/>
          <w:between w:val="nil"/>
        </w:pBdr>
        <w:spacing w:after="240" w:line="360" w:lineRule="auto"/>
        <w:jc w:val="both"/>
        <w:rPr>
          <w:rFonts w:ascii="Cambria" w:eastAsia="Cambria" w:hAnsi="Cambria" w:cs="Cambria"/>
          <w:b/>
          <w:color w:val="000000"/>
          <w:sz w:val="22"/>
          <w:szCs w:val="22"/>
        </w:rPr>
      </w:pPr>
      <w:r>
        <w:rPr>
          <w:rFonts w:ascii="Cambria" w:eastAsia="Cambria" w:hAnsi="Cambria" w:cs="Cambria"/>
          <w:b/>
          <w:color w:val="000000"/>
          <w:sz w:val="22"/>
          <w:szCs w:val="22"/>
        </w:rPr>
        <w:t>Artículo 2: Introdúzcanse las</w:t>
      </w:r>
      <w:r>
        <w:rPr>
          <w:rFonts w:ascii="Cambria" w:eastAsia="Cambria" w:hAnsi="Cambria" w:cs="Cambria"/>
          <w:b/>
          <w:color w:val="000000"/>
          <w:sz w:val="22"/>
          <w:szCs w:val="22"/>
        </w:rPr>
        <w:t xml:space="preserve"> siguientes modificaciones a la Ley N° 20.609</w:t>
      </w:r>
      <w:r>
        <w:rPr>
          <w:rFonts w:ascii="Calibri" w:eastAsia="Calibri" w:hAnsi="Calibri" w:cs="Calibri"/>
          <w:b/>
          <w:color w:val="000000"/>
          <w:sz w:val="22"/>
          <w:szCs w:val="22"/>
        </w:rPr>
        <w:t xml:space="preserve"> </w:t>
      </w:r>
      <w:r>
        <w:rPr>
          <w:rFonts w:ascii="Cambria" w:eastAsia="Cambria" w:hAnsi="Cambria" w:cs="Cambria"/>
          <w:b/>
          <w:color w:val="000000"/>
          <w:sz w:val="22"/>
          <w:szCs w:val="22"/>
        </w:rPr>
        <w:t>que establece medidas contra la discriminación</w:t>
      </w:r>
    </w:p>
    <w:p w:rsidR="00AB7587" w:rsidRDefault="006462C3" w:rsidP="00EC7DEC">
      <w:pPr>
        <w:pStyle w:val="normal0"/>
        <w:numPr>
          <w:ilvl w:val="0"/>
          <w:numId w:val="3"/>
        </w:numPr>
        <w:pBdr>
          <w:top w:val="nil"/>
          <w:left w:val="nil"/>
          <w:bottom w:val="nil"/>
          <w:right w:val="nil"/>
          <w:between w:val="nil"/>
        </w:pBdr>
        <w:spacing w:line="360" w:lineRule="auto"/>
        <w:ind w:left="993"/>
        <w:jc w:val="both"/>
        <w:rPr>
          <w:rFonts w:ascii="Cambria" w:eastAsia="Cambria" w:hAnsi="Cambria" w:cs="Cambria"/>
          <w:color w:val="000000"/>
          <w:sz w:val="22"/>
          <w:szCs w:val="22"/>
        </w:rPr>
      </w:pPr>
      <w:r>
        <w:rPr>
          <w:rFonts w:ascii="Cambria" w:eastAsia="Cambria" w:hAnsi="Cambria" w:cs="Cambria"/>
          <w:color w:val="000000"/>
          <w:sz w:val="22"/>
          <w:szCs w:val="22"/>
        </w:rPr>
        <w:t xml:space="preserve">Incorpórese, en el artículo 2°, un nuevo inciso segundo del siguiente tenor: </w:t>
      </w:r>
    </w:p>
    <w:p w:rsidR="00AB7587" w:rsidRDefault="006462C3" w:rsidP="00EC7DEC">
      <w:pPr>
        <w:pStyle w:val="normal0"/>
        <w:pBdr>
          <w:top w:val="nil"/>
          <w:left w:val="nil"/>
          <w:bottom w:val="nil"/>
          <w:right w:val="nil"/>
          <w:between w:val="nil"/>
        </w:pBdr>
        <w:spacing w:line="360" w:lineRule="auto"/>
        <w:ind w:left="993"/>
        <w:jc w:val="both"/>
        <w:rPr>
          <w:rFonts w:ascii="Cambria" w:eastAsia="Cambria" w:hAnsi="Cambria" w:cs="Cambria"/>
          <w:color w:val="000000"/>
          <w:sz w:val="22"/>
          <w:szCs w:val="22"/>
        </w:rPr>
      </w:pPr>
      <w:r>
        <w:rPr>
          <w:rFonts w:ascii="Cambria" w:eastAsia="Cambria" w:hAnsi="Cambria" w:cs="Cambria"/>
          <w:color w:val="000000"/>
          <w:sz w:val="22"/>
          <w:szCs w:val="22"/>
        </w:rPr>
        <w:t>“También se considerará discriminación arbitraria toda distinción, exclusión o</w:t>
      </w:r>
      <w:r w:rsidR="00EC7DEC">
        <w:rPr>
          <w:rFonts w:ascii="Cambria" w:eastAsia="Cambria" w:hAnsi="Cambria" w:cs="Cambria"/>
          <w:color w:val="000000"/>
          <w:sz w:val="22"/>
          <w:szCs w:val="22"/>
        </w:rPr>
        <w:t xml:space="preserve"> </w:t>
      </w:r>
      <w:r>
        <w:rPr>
          <w:rFonts w:ascii="Cambria" w:eastAsia="Cambria" w:hAnsi="Cambria" w:cs="Cambria"/>
          <w:color w:val="000000"/>
          <w:sz w:val="22"/>
          <w:szCs w:val="22"/>
        </w:rPr>
        <w:t>restricción respecto de niños, niñas o adolescentes, efectuada por sus representantes legales, personas a cargo de su cuidado, educadores o asistentes de educación, con el objet</w:t>
      </w:r>
      <w:r>
        <w:rPr>
          <w:rFonts w:ascii="Cambria" w:eastAsia="Cambria" w:hAnsi="Cambria" w:cs="Cambria"/>
          <w:color w:val="000000"/>
          <w:sz w:val="22"/>
          <w:szCs w:val="22"/>
        </w:rPr>
        <w:t>o de modificar su orientación sexual, identidad y/o expresión de género, amparadas o no en fundamentos como el respeto a la moral, las buenas costumbres y/o estereotipos de género.”</w:t>
      </w:r>
      <w:r>
        <w:rPr>
          <w:rFonts w:ascii="Cambria" w:eastAsia="Cambria" w:hAnsi="Cambria" w:cs="Cambria"/>
          <w:color w:val="000000"/>
          <w:sz w:val="22"/>
          <w:szCs w:val="22"/>
        </w:rPr>
        <w:t xml:space="preserve"> </w:t>
      </w:r>
      <w:r>
        <w:rPr>
          <w:rFonts w:ascii="Cambria" w:eastAsia="Cambria" w:hAnsi="Cambria" w:cs="Cambria"/>
          <w:color w:val="000000"/>
          <w:sz w:val="22"/>
          <w:szCs w:val="22"/>
        </w:rPr>
        <w:tab/>
      </w:r>
    </w:p>
    <w:p w:rsidR="00AB7587" w:rsidRDefault="006462C3" w:rsidP="00EC7DEC">
      <w:pPr>
        <w:pStyle w:val="normal0"/>
        <w:numPr>
          <w:ilvl w:val="0"/>
          <w:numId w:val="3"/>
        </w:numPr>
        <w:pBdr>
          <w:top w:val="nil"/>
          <w:left w:val="nil"/>
          <w:bottom w:val="nil"/>
          <w:right w:val="nil"/>
          <w:between w:val="nil"/>
        </w:pBdr>
        <w:spacing w:line="360" w:lineRule="auto"/>
        <w:ind w:left="993"/>
        <w:jc w:val="both"/>
        <w:rPr>
          <w:rFonts w:ascii="Cambria" w:eastAsia="Cambria" w:hAnsi="Cambria" w:cs="Cambria"/>
          <w:color w:val="000000"/>
          <w:sz w:val="22"/>
          <w:szCs w:val="22"/>
        </w:rPr>
      </w:pPr>
      <w:r>
        <w:rPr>
          <w:rFonts w:ascii="Cambria" w:eastAsia="Cambria" w:hAnsi="Cambria" w:cs="Cambria"/>
          <w:color w:val="000000"/>
          <w:sz w:val="22"/>
          <w:szCs w:val="22"/>
        </w:rPr>
        <w:t>Incorpórese, en el artículo 4°, un nuevo inciso final del siguiente</w:t>
      </w:r>
      <w:r>
        <w:rPr>
          <w:rFonts w:ascii="Cambria" w:eastAsia="Cambria" w:hAnsi="Cambria" w:cs="Cambria"/>
          <w:color w:val="000000"/>
          <w:sz w:val="22"/>
          <w:szCs w:val="22"/>
        </w:rPr>
        <w:t xml:space="preserve"> tenor:</w:t>
      </w:r>
    </w:p>
    <w:p w:rsidR="00AB7587" w:rsidRDefault="006462C3" w:rsidP="00EC7DEC">
      <w:pPr>
        <w:pStyle w:val="normal0"/>
        <w:pBdr>
          <w:top w:val="nil"/>
          <w:left w:val="nil"/>
          <w:bottom w:val="nil"/>
          <w:right w:val="nil"/>
          <w:between w:val="nil"/>
        </w:pBdr>
        <w:spacing w:line="360" w:lineRule="auto"/>
        <w:ind w:left="993"/>
        <w:jc w:val="both"/>
        <w:rPr>
          <w:rFonts w:ascii="Cambria" w:eastAsia="Cambria" w:hAnsi="Cambria" w:cs="Cambria"/>
          <w:color w:val="000000"/>
          <w:sz w:val="22"/>
          <w:szCs w:val="22"/>
        </w:rPr>
      </w:pPr>
      <w:r>
        <w:rPr>
          <w:rFonts w:ascii="Cambria" w:eastAsia="Cambria" w:hAnsi="Cambria" w:cs="Cambria"/>
          <w:color w:val="000000"/>
          <w:sz w:val="22"/>
          <w:szCs w:val="22"/>
        </w:rPr>
        <w:t>“La acción fundada en alguna de las situaciones descritas en el inciso segundo del artículo 2°, podrá ser interpuesta por cualquier persona en favor del niño, niña o adolescente afectado por la discriminación arbitraria”</w:t>
      </w:r>
    </w:p>
    <w:p w:rsidR="00AB7587" w:rsidRDefault="006462C3" w:rsidP="00EC7DEC">
      <w:pPr>
        <w:pStyle w:val="normal0"/>
        <w:numPr>
          <w:ilvl w:val="0"/>
          <w:numId w:val="3"/>
        </w:numPr>
        <w:pBdr>
          <w:top w:val="nil"/>
          <w:left w:val="nil"/>
          <w:bottom w:val="nil"/>
          <w:right w:val="nil"/>
          <w:between w:val="nil"/>
        </w:pBdr>
        <w:spacing w:line="360" w:lineRule="auto"/>
        <w:ind w:left="993"/>
        <w:jc w:val="both"/>
        <w:rPr>
          <w:rFonts w:ascii="Cambria" w:eastAsia="Cambria" w:hAnsi="Cambria" w:cs="Cambria"/>
          <w:color w:val="000000"/>
          <w:sz w:val="22"/>
          <w:szCs w:val="22"/>
        </w:rPr>
      </w:pPr>
      <w:r>
        <w:rPr>
          <w:rFonts w:ascii="Cambria" w:eastAsia="Cambria" w:hAnsi="Cambria" w:cs="Cambria"/>
          <w:color w:val="000000"/>
          <w:sz w:val="22"/>
          <w:szCs w:val="22"/>
        </w:rPr>
        <w:t>Agréguese un nuevo artículo</w:t>
      </w:r>
      <w:r>
        <w:rPr>
          <w:rFonts w:ascii="Cambria" w:eastAsia="Cambria" w:hAnsi="Cambria" w:cs="Cambria"/>
          <w:color w:val="000000"/>
          <w:sz w:val="22"/>
          <w:szCs w:val="22"/>
        </w:rPr>
        <w:t xml:space="preserve"> 8 bis del siguiente tenor:</w:t>
      </w:r>
    </w:p>
    <w:p w:rsidR="00AB7587" w:rsidRDefault="006462C3" w:rsidP="00EC7DEC">
      <w:pPr>
        <w:pStyle w:val="normal0"/>
        <w:pBdr>
          <w:top w:val="nil"/>
          <w:left w:val="nil"/>
          <w:bottom w:val="nil"/>
          <w:right w:val="nil"/>
          <w:between w:val="nil"/>
        </w:pBdr>
        <w:spacing w:line="360" w:lineRule="auto"/>
        <w:ind w:left="993"/>
        <w:jc w:val="both"/>
        <w:rPr>
          <w:rFonts w:ascii="Cambria" w:eastAsia="Cambria" w:hAnsi="Cambria" w:cs="Cambria"/>
          <w:color w:val="000000"/>
          <w:sz w:val="22"/>
          <w:szCs w:val="22"/>
        </w:rPr>
      </w:pPr>
      <w:r>
        <w:rPr>
          <w:rFonts w:ascii="Cambria" w:eastAsia="Cambria" w:hAnsi="Cambria" w:cs="Cambria"/>
          <w:color w:val="000000"/>
          <w:sz w:val="22"/>
          <w:szCs w:val="22"/>
        </w:rPr>
        <w:t xml:space="preserve">“En caso de que la acción tenga por fundamento alguna de las situaciones descritas en el inciso segundo del artículo 2° de esta ley, la defensa de los intereses del niño, niña o adolescente involucrado, corresponderá a quien la </w:t>
      </w:r>
      <w:r>
        <w:rPr>
          <w:rFonts w:ascii="Cambria" w:eastAsia="Cambria" w:hAnsi="Cambria" w:cs="Cambria"/>
          <w:color w:val="000000"/>
          <w:sz w:val="22"/>
          <w:szCs w:val="22"/>
        </w:rPr>
        <w:t>haya interpuesto”</w:t>
      </w:r>
    </w:p>
    <w:p w:rsidR="00AB7587" w:rsidRDefault="006462C3" w:rsidP="00EC7DEC">
      <w:pPr>
        <w:pStyle w:val="normal0"/>
        <w:numPr>
          <w:ilvl w:val="0"/>
          <w:numId w:val="3"/>
        </w:numPr>
        <w:pBdr>
          <w:top w:val="nil"/>
          <w:left w:val="nil"/>
          <w:bottom w:val="nil"/>
          <w:right w:val="nil"/>
          <w:between w:val="nil"/>
        </w:pBdr>
        <w:spacing w:line="360" w:lineRule="auto"/>
        <w:ind w:left="993"/>
        <w:jc w:val="both"/>
        <w:rPr>
          <w:rFonts w:ascii="Cambria" w:eastAsia="Cambria" w:hAnsi="Cambria" w:cs="Cambria"/>
          <w:color w:val="000000"/>
          <w:sz w:val="22"/>
          <w:szCs w:val="22"/>
        </w:rPr>
      </w:pPr>
      <w:r>
        <w:rPr>
          <w:rFonts w:ascii="Cambria" w:eastAsia="Cambria" w:hAnsi="Cambria" w:cs="Cambria"/>
          <w:color w:val="000000"/>
          <w:sz w:val="22"/>
          <w:szCs w:val="22"/>
        </w:rPr>
        <w:t xml:space="preserve"> Agréguese, un nuevo inciso final al artículo 9°, del siguiente tenor:</w:t>
      </w:r>
    </w:p>
    <w:p w:rsidR="00AB7587" w:rsidRDefault="006462C3" w:rsidP="00EC7DEC">
      <w:pPr>
        <w:pStyle w:val="normal0"/>
        <w:pBdr>
          <w:top w:val="nil"/>
          <w:left w:val="nil"/>
          <w:bottom w:val="nil"/>
          <w:right w:val="nil"/>
          <w:between w:val="nil"/>
        </w:pBdr>
        <w:spacing w:line="360" w:lineRule="auto"/>
        <w:ind w:left="993"/>
        <w:jc w:val="both"/>
        <w:rPr>
          <w:rFonts w:ascii="Cambria" w:eastAsia="Cambria" w:hAnsi="Cambria" w:cs="Cambria"/>
          <w:color w:val="000000"/>
          <w:sz w:val="22"/>
          <w:szCs w:val="22"/>
        </w:rPr>
      </w:pPr>
      <w:r>
        <w:rPr>
          <w:rFonts w:ascii="Cambria" w:eastAsia="Cambria" w:hAnsi="Cambria" w:cs="Cambria"/>
          <w:color w:val="000000"/>
          <w:sz w:val="22"/>
          <w:szCs w:val="22"/>
        </w:rPr>
        <w:lastRenderedPageBreak/>
        <w:t>“En caso de que sea necesaria la comparecencia de niños, niñas, o adolescentes a las audiencias a las que se refiere este artículo, se garantizará que aquella se efect</w:t>
      </w:r>
      <w:r>
        <w:rPr>
          <w:rFonts w:ascii="Cambria" w:eastAsia="Cambria" w:hAnsi="Cambria" w:cs="Cambria"/>
          <w:color w:val="000000"/>
          <w:sz w:val="22"/>
          <w:szCs w:val="22"/>
        </w:rPr>
        <w:t>úe bajo protección absoluta de su interés superior, respetando en todo momento su condición de sujeto de derecho, su derecho a ser oído y a que su opinión sea tenida en cuenta, considerando su edad, grado de madurez, capacidad de discernimiento y demás con</w:t>
      </w:r>
      <w:r>
        <w:rPr>
          <w:rFonts w:ascii="Cambria" w:eastAsia="Cambria" w:hAnsi="Cambria" w:cs="Cambria"/>
          <w:color w:val="000000"/>
          <w:sz w:val="22"/>
          <w:szCs w:val="22"/>
        </w:rPr>
        <w:t>diciones personales.”</w:t>
      </w:r>
    </w:p>
    <w:p w:rsidR="00AB7587" w:rsidRDefault="006462C3">
      <w:pPr>
        <w:pStyle w:val="normal0"/>
        <w:widowControl w:val="0"/>
        <w:pBdr>
          <w:top w:val="nil"/>
          <w:left w:val="nil"/>
          <w:bottom w:val="nil"/>
          <w:right w:val="nil"/>
          <w:between w:val="nil"/>
        </w:pBdr>
        <w:spacing w:after="240" w:line="360" w:lineRule="auto"/>
        <w:jc w:val="both"/>
        <w:rPr>
          <w:rFonts w:ascii="Calibri" w:eastAsia="Calibri" w:hAnsi="Calibri" w:cs="Calibri"/>
          <w:color w:val="000000"/>
          <w:sz w:val="22"/>
          <w:szCs w:val="22"/>
        </w:rPr>
      </w:pPr>
      <w:bookmarkStart w:id="2" w:name="_1fob9te" w:colFirst="0" w:colLast="0"/>
      <w:bookmarkEnd w:id="2"/>
      <w:r>
        <w:rPr>
          <w:rFonts w:ascii="Cambria" w:eastAsia="Cambria" w:hAnsi="Cambria" w:cs="Cambria"/>
          <w:color w:val="000000"/>
          <w:sz w:val="22"/>
          <w:szCs w:val="22"/>
        </w:rPr>
        <w:br/>
      </w:r>
      <w:r>
        <w:rPr>
          <w:rFonts w:ascii="Cambria" w:eastAsia="Cambria" w:hAnsi="Cambria" w:cs="Cambria"/>
          <w:color w:val="000000"/>
          <w:sz w:val="22"/>
          <w:szCs w:val="22"/>
        </w:rPr>
        <w:br/>
      </w:r>
      <w:r>
        <w:rPr>
          <w:rFonts w:ascii="Cambria" w:eastAsia="Cambria" w:hAnsi="Cambria" w:cs="Cambria"/>
          <w:color w:val="000000"/>
          <w:sz w:val="22"/>
          <w:szCs w:val="22"/>
        </w:rPr>
        <w:br/>
      </w:r>
      <w:r>
        <w:rPr>
          <w:rFonts w:ascii="Cambria" w:eastAsia="Cambria" w:hAnsi="Cambria" w:cs="Cambria"/>
          <w:color w:val="000000"/>
          <w:sz w:val="22"/>
          <w:szCs w:val="22"/>
        </w:rPr>
        <w:br/>
      </w:r>
      <w:r>
        <w:rPr>
          <w:rFonts w:ascii="Cambria" w:eastAsia="Cambria" w:hAnsi="Cambria" w:cs="Cambria"/>
          <w:color w:val="000000"/>
          <w:sz w:val="22"/>
          <w:szCs w:val="22"/>
        </w:rPr>
        <w:br/>
      </w:r>
      <w:r>
        <w:rPr>
          <w:rFonts w:ascii="Cambria" w:eastAsia="Cambria" w:hAnsi="Cambria" w:cs="Cambria"/>
          <w:color w:val="000000"/>
          <w:sz w:val="22"/>
          <w:szCs w:val="22"/>
        </w:rPr>
        <w:br/>
      </w:r>
      <w:r>
        <w:rPr>
          <w:rFonts w:ascii="Cambria" w:eastAsia="Cambria" w:hAnsi="Cambria" w:cs="Cambria"/>
          <w:color w:val="000000"/>
          <w:sz w:val="22"/>
          <w:szCs w:val="22"/>
        </w:rPr>
        <w:br/>
      </w:r>
      <w:r>
        <w:rPr>
          <w:rFonts w:ascii="Cambria" w:eastAsia="Cambria" w:hAnsi="Cambria" w:cs="Cambria"/>
          <w:color w:val="000000"/>
          <w:sz w:val="22"/>
          <w:szCs w:val="22"/>
        </w:rPr>
        <w:br/>
      </w:r>
      <w:r>
        <w:rPr>
          <w:rFonts w:ascii="Cambria" w:eastAsia="Cambria" w:hAnsi="Cambria" w:cs="Cambria"/>
          <w:color w:val="000000"/>
          <w:sz w:val="22"/>
          <w:szCs w:val="22"/>
        </w:rPr>
        <w:br/>
      </w:r>
      <w:r>
        <w:rPr>
          <w:rFonts w:ascii="Cambria" w:eastAsia="Cambria" w:hAnsi="Cambria" w:cs="Cambria"/>
          <w:color w:val="000000"/>
          <w:sz w:val="22"/>
          <w:szCs w:val="22"/>
        </w:rPr>
        <w:br/>
      </w:r>
    </w:p>
    <w:sectPr w:rsidR="00AB7587" w:rsidSect="00A95D2F">
      <w:headerReference w:type="default" r:id="rId7"/>
      <w:footerReference w:type="default" r:id="rId8"/>
      <w:pgSz w:w="12242" w:h="18722" w:code="14"/>
      <w:pgMar w:top="1588" w:right="1701" w:bottom="1418" w:left="1701" w:header="0"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2C3" w:rsidRDefault="006462C3" w:rsidP="00AB7587">
      <w:r>
        <w:separator/>
      </w:r>
    </w:p>
  </w:endnote>
  <w:endnote w:type="continuationSeparator" w:id="0">
    <w:p w:rsidR="006462C3" w:rsidRDefault="006462C3" w:rsidP="00AB7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587" w:rsidRDefault="00AB7587">
    <w:pPr>
      <w:pStyle w:val="normal0"/>
      <w:pBdr>
        <w:top w:val="nil"/>
        <w:left w:val="nil"/>
        <w:bottom w:val="nil"/>
        <w:right w:val="nil"/>
        <w:between w:val="nil"/>
      </w:pBdr>
      <w:tabs>
        <w:tab w:val="center" w:pos="4419"/>
        <w:tab w:val="right" w:pos="8818"/>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6462C3">
      <w:rPr>
        <w:rFonts w:ascii="Calibri" w:eastAsia="Calibri" w:hAnsi="Calibri" w:cs="Calibri"/>
        <w:color w:val="000000"/>
        <w:sz w:val="22"/>
        <w:szCs w:val="22"/>
      </w:rPr>
      <w:instrText>PAGE</w:instrText>
    </w:r>
    <w:r w:rsidR="002F483B">
      <w:rPr>
        <w:rFonts w:ascii="Calibri" w:eastAsia="Calibri" w:hAnsi="Calibri" w:cs="Calibri"/>
        <w:color w:val="000000"/>
        <w:sz w:val="22"/>
        <w:szCs w:val="22"/>
      </w:rPr>
      <w:fldChar w:fldCharType="separate"/>
    </w:r>
    <w:r w:rsidR="00EC7DEC">
      <w:rPr>
        <w:rFonts w:ascii="Calibri" w:eastAsia="Calibri" w:hAnsi="Calibri" w:cs="Calibri"/>
        <w:noProof/>
        <w:color w:val="000000"/>
        <w:sz w:val="22"/>
        <w:szCs w:val="22"/>
      </w:rPr>
      <w:t>6</w:t>
    </w:r>
    <w:r>
      <w:rPr>
        <w:rFonts w:ascii="Calibri" w:eastAsia="Calibri" w:hAnsi="Calibri" w:cs="Calibri"/>
        <w:color w:val="000000"/>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2C3" w:rsidRDefault="006462C3" w:rsidP="00AB7587">
      <w:r>
        <w:separator/>
      </w:r>
    </w:p>
  </w:footnote>
  <w:footnote w:type="continuationSeparator" w:id="0">
    <w:p w:rsidR="006462C3" w:rsidRDefault="006462C3" w:rsidP="00AB7587">
      <w:r>
        <w:continuationSeparator/>
      </w:r>
    </w:p>
  </w:footnote>
  <w:footnote w:id="1">
    <w:p w:rsidR="00AB7587" w:rsidRDefault="006462C3">
      <w:pPr>
        <w:pStyle w:val="normal0"/>
        <w:widowControl w:val="0"/>
        <w:pBdr>
          <w:top w:val="nil"/>
          <w:left w:val="nil"/>
          <w:bottom w:val="nil"/>
          <w:right w:val="nil"/>
          <w:between w:val="nil"/>
        </w:pBdr>
        <w:spacing w:after="160" w:line="259" w:lineRule="auto"/>
        <w:jc w:val="both"/>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 xml:space="preserve"> Espejo, N., </w:t>
      </w:r>
      <w:proofErr w:type="spellStart"/>
      <w:r>
        <w:rPr>
          <w:rFonts w:ascii="Calibri" w:eastAsia="Calibri" w:hAnsi="Calibri" w:cs="Calibri"/>
          <w:color w:val="000000"/>
          <w:sz w:val="22"/>
          <w:szCs w:val="22"/>
        </w:rPr>
        <w:t>Lathrop</w:t>
      </w:r>
      <w:proofErr w:type="spellEnd"/>
      <w:r>
        <w:rPr>
          <w:rFonts w:ascii="Calibri" w:eastAsia="Calibri" w:hAnsi="Calibri" w:cs="Calibri"/>
          <w:color w:val="000000"/>
          <w:sz w:val="22"/>
          <w:szCs w:val="22"/>
        </w:rPr>
        <w:t xml:space="preserve">, F., (2015) </w:t>
      </w:r>
      <w:r>
        <w:rPr>
          <w:rFonts w:ascii="Calibri" w:eastAsia="Calibri" w:hAnsi="Calibri" w:cs="Calibri"/>
          <w:i/>
          <w:color w:val="000000"/>
          <w:sz w:val="22"/>
          <w:szCs w:val="22"/>
        </w:rPr>
        <w:t xml:space="preserve">Identidad de género, relaciones familiares y derechos de niños, niñas y adolescentes. Comentarios al proyecto de ley que reconoce y da protección al derecho a la identidad de género. </w:t>
      </w:r>
      <w:r>
        <w:rPr>
          <w:rFonts w:ascii="Calibri" w:eastAsia="Calibri" w:hAnsi="Calibri" w:cs="Calibri"/>
          <w:color w:val="000000"/>
          <w:sz w:val="22"/>
          <w:szCs w:val="22"/>
        </w:rPr>
        <w:t>Volumen dos, Revista Universidad Católica del Norte.  Recuperado de https</w:t>
      </w:r>
      <w:r>
        <w:rPr>
          <w:rFonts w:ascii="Calibri" w:eastAsia="Calibri" w:hAnsi="Calibri" w:cs="Calibri"/>
          <w:color w:val="000000"/>
          <w:sz w:val="22"/>
          <w:szCs w:val="22"/>
        </w:rPr>
        <w:t>://scielo.conicyt.cl/scielo.php?script=sci_arttext&amp;pid=S0718-97532015000200013&amp;lng=en&amp;tlng=en#n40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587" w:rsidRDefault="00AB7587">
    <w:pPr>
      <w:pStyle w:val="normal0"/>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20BFE"/>
    <w:multiLevelType w:val="multilevel"/>
    <w:tmpl w:val="7144AEDA"/>
    <w:lvl w:ilvl="0">
      <w:start w:val="1"/>
      <w:numFmt w:val="upp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abstractNum w:abstractNumId="1">
    <w:nsid w:val="27064673"/>
    <w:multiLevelType w:val="multilevel"/>
    <w:tmpl w:val="E27C73C2"/>
    <w:lvl w:ilvl="0">
      <w:start w:val="1"/>
      <w:numFmt w:val="decimal"/>
      <w:lvlText w:val="%1."/>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decimal"/>
      <w:lvlText w:val="%2."/>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decimal"/>
      <w:lvlText w:val="%3."/>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decimal"/>
      <w:lvlText w:val="%5."/>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decimal"/>
      <w:lvlText w:val="%6."/>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decimal"/>
      <w:lvlText w:val="%8."/>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decimal"/>
      <w:lvlText w:val="%9."/>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2">
    <w:nsid w:val="318507EB"/>
    <w:multiLevelType w:val="multilevel"/>
    <w:tmpl w:val="E6FE20A2"/>
    <w:lvl w:ilvl="0">
      <w:start w:val="1"/>
      <w:numFmt w:val="decimal"/>
      <w:lvlText w:val="%1."/>
      <w:lvlJc w:val="left"/>
      <w:pPr>
        <w:ind w:left="720" w:hanging="360"/>
      </w:pPr>
      <w:rPr>
        <w:rFonts w:ascii="Times New Roman" w:eastAsia="Times New Roman" w:hAnsi="Times New Roman" w:cs="Times New Roman"/>
        <w:b w:val="0"/>
        <w:i/>
        <w:smallCaps w:val="0"/>
        <w:strike w:val="0"/>
        <w:shd w:val="clear" w:color="auto" w:fill="auto"/>
        <w:vertAlign w:val="baseline"/>
      </w:rPr>
    </w:lvl>
    <w:lvl w:ilvl="1">
      <w:start w:val="1"/>
      <w:numFmt w:val="decimal"/>
      <w:lvlText w:val="%2."/>
      <w:lvlJc w:val="left"/>
      <w:pPr>
        <w:ind w:left="1440" w:hanging="360"/>
      </w:pPr>
      <w:rPr>
        <w:rFonts w:ascii="Times New Roman" w:eastAsia="Times New Roman" w:hAnsi="Times New Roman" w:cs="Times New Roman"/>
        <w:b w:val="0"/>
        <w:i/>
        <w:smallCaps w:val="0"/>
        <w:strike w:val="0"/>
        <w:shd w:val="clear" w:color="auto" w:fill="auto"/>
        <w:vertAlign w:val="baseline"/>
      </w:rPr>
    </w:lvl>
    <w:lvl w:ilvl="2">
      <w:start w:val="1"/>
      <w:numFmt w:val="decimal"/>
      <w:lvlText w:val="%3."/>
      <w:lvlJc w:val="left"/>
      <w:pPr>
        <w:ind w:left="2160" w:hanging="360"/>
      </w:pPr>
      <w:rPr>
        <w:rFonts w:ascii="Times New Roman" w:eastAsia="Times New Roman" w:hAnsi="Times New Roman" w:cs="Times New Roman"/>
        <w:b w:val="0"/>
        <w:i/>
        <w:smallCaps w:val="0"/>
        <w:strike w:val="0"/>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smallCaps w:val="0"/>
        <w:strike w:val="0"/>
        <w:shd w:val="clear" w:color="auto" w:fill="auto"/>
        <w:vertAlign w:val="baseline"/>
      </w:rPr>
    </w:lvl>
    <w:lvl w:ilvl="4">
      <w:start w:val="1"/>
      <w:numFmt w:val="decimal"/>
      <w:lvlText w:val="%5."/>
      <w:lvlJc w:val="left"/>
      <w:pPr>
        <w:ind w:left="3600" w:hanging="360"/>
      </w:pPr>
      <w:rPr>
        <w:rFonts w:ascii="Times New Roman" w:eastAsia="Times New Roman" w:hAnsi="Times New Roman" w:cs="Times New Roman"/>
        <w:b w:val="0"/>
        <w:i/>
        <w:smallCaps w:val="0"/>
        <w:strike w:val="0"/>
        <w:shd w:val="clear" w:color="auto" w:fill="auto"/>
        <w:vertAlign w:val="baseline"/>
      </w:rPr>
    </w:lvl>
    <w:lvl w:ilvl="5">
      <w:start w:val="1"/>
      <w:numFmt w:val="decimal"/>
      <w:lvlText w:val="%6."/>
      <w:lvlJc w:val="left"/>
      <w:pPr>
        <w:ind w:left="4320" w:hanging="360"/>
      </w:pPr>
      <w:rPr>
        <w:rFonts w:ascii="Times New Roman" w:eastAsia="Times New Roman" w:hAnsi="Times New Roman" w:cs="Times New Roman"/>
        <w:b w:val="0"/>
        <w:i/>
        <w:smallCaps w:val="0"/>
        <w:strike w:val="0"/>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smallCaps w:val="0"/>
        <w:strike w:val="0"/>
        <w:shd w:val="clear" w:color="auto" w:fill="auto"/>
        <w:vertAlign w:val="baseline"/>
      </w:rPr>
    </w:lvl>
    <w:lvl w:ilvl="7">
      <w:start w:val="1"/>
      <w:numFmt w:val="decimal"/>
      <w:lvlText w:val="%8."/>
      <w:lvlJc w:val="left"/>
      <w:pPr>
        <w:ind w:left="5760" w:hanging="360"/>
      </w:pPr>
      <w:rPr>
        <w:rFonts w:ascii="Times New Roman" w:eastAsia="Times New Roman" w:hAnsi="Times New Roman" w:cs="Times New Roman"/>
        <w:b w:val="0"/>
        <w:i/>
        <w:smallCaps w:val="0"/>
        <w:strike w:val="0"/>
        <w:shd w:val="clear" w:color="auto" w:fill="auto"/>
        <w:vertAlign w:val="baseline"/>
      </w:rPr>
    </w:lvl>
    <w:lvl w:ilvl="8">
      <w:start w:val="1"/>
      <w:numFmt w:val="decimal"/>
      <w:lvlText w:val="%9."/>
      <w:lvlJc w:val="left"/>
      <w:pPr>
        <w:ind w:left="6480" w:hanging="360"/>
      </w:pPr>
      <w:rPr>
        <w:rFonts w:ascii="Times New Roman" w:eastAsia="Times New Roman" w:hAnsi="Times New Roman" w:cs="Times New Roman"/>
        <w:b w:val="0"/>
        <w:i/>
        <w:smallCaps w:val="0"/>
        <w:strike w:val="0"/>
        <w:shd w:val="clear" w:color="auto" w:fill="auto"/>
        <w:vertAlign w:val="baseline"/>
      </w:rPr>
    </w:lvl>
  </w:abstractNum>
  <w:abstractNum w:abstractNumId="3">
    <w:nsid w:val="4C4B2DA8"/>
    <w:multiLevelType w:val="multilevel"/>
    <w:tmpl w:val="7CF417CC"/>
    <w:lvl w:ilvl="0">
      <w:start w:val="1"/>
      <w:numFmt w:val="upp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abstractNum w:abstractNumId="4">
    <w:nsid w:val="606F500E"/>
    <w:multiLevelType w:val="multilevel"/>
    <w:tmpl w:val="326C9F8A"/>
    <w:lvl w:ilvl="0">
      <w:start w:val="1"/>
      <w:numFmt w:val="decimal"/>
      <w:lvlText w:val="%1."/>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decimal"/>
      <w:lvlText w:val="%2."/>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decimal"/>
      <w:lvlText w:val="%3."/>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decimal"/>
      <w:lvlText w:val="%5."/>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decimal"/>
      <w:lvlText w:val="%6."/>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decimal"/>
      <w:lvlText w:val="%8."/>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decimal"/>
      <w:lvlText w:val="%9."/>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5">
    <w:nsid w:val="75506152"/>
    <w:multiLevelType w:val="multilevel"/>
    <w:tmpl w:val="948076F8"/>
    <w:lvl w:ilvl="0">
      <w:start w:val="6"/>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1440" w:hanging="360"/>
      </w:pPr>
      <w:rPr>
        <w:smallCaps w:val="0"/>
        <w:strike w:val="0"/>
        <w:shd w:val="clear" w:color="auto" w:fill="auto"/>
        <w:vertAlign w:val="baseline"/>
      </w:rPr>
    </w:lvl>
    <w:lvl w:ilvl="2">
      <w:start w:val="1"/>
      <w:numFmt w:val="decimal"/>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decimal"/>
      <w:lvlText w:val="%5."/>
      <w:lvlJc w:val="left"/>
      <w:pPr>
        <w:ind w:left="3600" w:hanging="360"/>
      </w:pPr>
      <w:rPr>
        <w:smallCaps w:val="0"/>
        <w:strike w:val="0"/>
        <w:shd w:val="clear" w:color="auto" w:fill="auto"/>
        <w:vertAlign w:val="baseline"/>
      </w:rPr>
    </w:lvl>
    <w:lvl w:ilvl="5">
      <w:start w:val="1"/>
      <w:numFmt w:val="decimal"/>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decimal"/>
      <w:lvlText w:val="%8."/>
      <w:lvlJc w:val="left"/>
      <w:pPr>
        <w:ind w:left="5760" w:hanging="360"/>
      </w:pPr>
      <w:rPr>
        <w:smallCaps w:val="0"/>
        <w:strike w:val="0"/>
        <w:shd w:val="clear" w:color="auto" w:fill="auto"/>
        <w:vertAlign w:val="baseline"/>
      </w:rPr>
    </w:lvl>
    <w:lvl w:ilvl="8">
      <w:start w:val="1"/>
      <w:numFmt w:val="decimal"/>
      <w:lvlText w:val="%9."/>
      <w:lvlJc w:val="left"/>
      <w:pPr>
        <w:ind w:left="6480" w:hanging="360"/>
      </w:pPr>
      <w:rPr>
        <w:smallCaps w:val="0"/>
        <w:strike w:val="0"/>
        <w:shd w:val="clear" w:color="auto" w:fill="auto"/>
        <w:vertAlign w:val="baseline"/>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AB7587"/>
    <w:rsid w:val="002F483B"/>
    <w:rsid w:val="006462C3"/>
    <w:rsid w:val="00A95D2F"/>
    <w:rsid w:val="00AB7587"/>
    <w:rsid w:val="00EC7D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rPr>
  </w:style>
  <w:style w:type="paragraph" w:styleId="Ttulo1">
    <w:name w:val="heading 1"/>
    <w:basedOn w:val="normal0"/>
    <w:next w:val="normal0"/>
    <w:rsid w:val="00AB7587"/>
    <w:pPr>
      <w:keepNext/>
      <w:keepLines/>
      <w:spacing w:before="480" w:after="120"/>
      <w:outlineLvl w:val="0"/>
    </w:pPr>
    <w:rPr>
      <w:b/>
      <w:sz w:val="48"/>
      <w:szCs w:val="48"/>
    </w:rPr>
  </w:style>
  <w:style w:type="paragraph" w:styleId="Ttulo2">
    <w:name w:val="heading 2"/>
    <w:basedOn w:val="normal0"/>
    <w:next w:val="normal0"/>
    <w:rsid w:val="00AB7587"/>
    <w:pPr>
      <w:keepNext/>
      <w:keepLines/>
      <w:spacing w:before="360" w:after="80"/>
      <w:outlineLvl w:val="1"/>
    </w:pPr>
    <w:rPr>
      <w:b/>
      <w:sz w:val="36"/>
      <w:szCs w:val="36"/>
    </w:rPr>
  </w:style>
  <w:style w:type="paragraph" w:styleId="Ttulo3">
    <w:name w:val="heading 3"/>
    <w:basedOn w:val="normal0"/>
    <w:next w:val="normal0"/>
    <w:rsid w:val="00AB7587"/>
    <w:pPr>
      <w:keepNext/>
      <w:keepLines/>
      <w:spacing w:before="280" w:after="80"/>
      <w:outlineLvl w:val="2"/>
    </w:pPr>
    <w:rPr>
      <w:b/>
      <w:sz w:val="28"/>
      <w:szCs w:val="28"/>
    </w:rPr>
  </w:style>
  <w:style w:type="paragraph" w:styleId="Ttulo4">
    <w:name w:val="heading 4"/>
    <w:basedOn w:val="normal0"/>
    <w:next w:val="normal0"/>
    <w:rsid w:val="00AB7587"/>
    <w:pPr>
      <w:keepNext/>
      <w:keepLines/>
      <w:spacing w:before="240" w:after="40"/>
      <w:outlineLvl w:val="3"/>
    </w:pPr>
    <w:rPr>
      <w:b/>
    </w:rPr>
  </w:style>
  <w:style w:type="paragraph" w:styleId="Ttulo5">
    <w:name w:val="heading 5"/>
    <w:basedOn w:val="normal0"/>
    <w:next w:val="normal0"/>
    <w:rsid w:val="00AB7587"/>
    <w:pPr>
      <w:keepNext/>
      <w:keepLines/>
      <w:spacing w:before="220" w:after="40"/>
      <w:outlineLvl w:val="4"/>
    </w:pPr>
    <w:rPr>
      <w:b/>
      <w:sz w:val="22"/>
      <w:szCs w:val="22"/>
    </w:rPr>
  </w:style>
  <w:style w:type="paragraph" w:styleId="Ttulo6">
    <w:name w:val="heading 6"/>
    <w:basedOn w:val="normal0"/>
    <w:next w:val="normal0"/>
    <w:rsid w:val="00AB758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AB7587"/>
    <w:rPr>
      <w:sz w:val="24"/>
      <w:szCs w:val="24"/>
      <w:lang w:val="es-ES_tradnl"/>
    </w:rPr>
  </w:style>
  <w:style w:type="table" w:customStyle="1" w:styleId="TableNormal">
    <w:name w:val="Table Normal"/>
    <w:rsid w:val="00AB7587"/>
    <w:rPr>
      <w:sz w:val="24"/>
      <w:szCs w:val="24"/>
      <w:lang w:val="es-ES_tradnl"/>
    </w:rPr>
    <w:tblPr>
      <w:tblCellMar>
        <w:top w:w="0" w:type="dxa"/>
        <w:left w:w="0" w:type="dxa"/>
        <w:bottom w:w="0" w:type="dxa"/>
        <w:right w:w="0" w:type="dxa"/>
      </w:tblCellMar>
    </w:tblPr>
  </w:style>
  <w:style w:type="paragraph" w:styleId="Ttulo">
    <w:name w:val="Title"/>
    <w:basedOn w:val="normal0"/>
    <w:next w:val="normal0"/>
    <w:rsid w:val="00AB7587"/>
    <w:pPr>
      <w:keepNext/>
      <w:keepLines/>
      <w:spacing w:before="480" w:after="120"/>
    </w:pPr>
    <w:rPr>
      <w:b/>
      <w:sz w:val="72"/>
      <w:szCs w:val="72"/>
    </w:rPr>
  </w:style>
  <w:style w:type="paragraph" w:styleId="Subttulo">
    <w:name w:val="Subtitle"/>
    <w:basedOn w:val="normal0"/>
    <w:next w:val="normal0"/>
    <w:rsid w:val="00AB758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1935</Words>
  <Characters>10644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2</cp:revision>
  <dcterms:created xsi:type="dcterms:W3CDTF">2019-05-28T21:22:00Z</dcterms:created>
  <dcterms:modified xsi:type="dcterms:W3CDTF">2019-05-28T21:22:00Z</dcterms:modified>
</cp:coreProperties>
</file>