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F43" w:rsidRPr="00102904" w:rsidRDefault="00D644B4" w:rsidP="00D644B4">
      <w:pPr>
        <w:spacing w:after="0" w:line="240" w:lineRule="auto"/>
        <w:ind w:right="-232"/>
        <w:jc w:val="both"/>
        <w:rPr>
          <w:sz w:val="24"/>
          <w:szCs w:val="24"/>
        </w:rPr>
      </w:pPr>
      <w:r w:rsidRPr="00D644B4">
        <w:rPr>
          <w:b/>
          <w:sz w:val="24"/>
          <w:szCs w:val="24"/>
        </w:rPr>
        <w:t>Modifica la ley N° 20.418, que Fija normas sobre información, orientación y prestaciones en materia de regulación de la fertilidad, para obligar a los establecimientos educacionales reconocidos por el Estado a implementar programas de educación sexual, afectividad y género, desde el segundo nivel de transición de la educación parvularia</w:t>
      </w:r>
    </w:p>
    <w:p w:rsidR="00695F43" w:rsidRDefault="00695F43" w:rsidP="00D644B4">
      <w:pPr>
        <w:spacing w:after="0" w:line="240" w:lineRule="auto"/>
        <w:ind w:right="-232"/>
        <w:jc w:val="center"/>
        <w:rPr>
          <w:sz w:val="24"/>
          <w:szCs w:val="24"/>
        </w:rPr>
      </w:pPr>
    </w:p>
    <w:p w:rsidR="00D644B4" w:rsidRPr="00D644B4" w:rsidRDefault="00D644B4" w:rsidP="00D644B4">
      <w:pPr>
        <w:spacing w:after="0" w:line="240" w:lineRule="auto"/>
        <w:ind w:right="-232"/>
        <w:jc w:val="center"/>
        <w:rPr>
          <w:b/>
          <w:sz w:val="24"/>
          <w:szCs w:val="24"/>
        </w:rPr>
      </w:pPr>
      <w:r w:rsidRPr="00D644B4">
        <w:rPr>
          <w:b/>
          <w:sz w:val="24"/>
          <w:szCs w:val="24"/>
        </w:rPr>
        <w:t>Boletín N° 12593-04</w:t>
      </w:r>
    </w:p>
    <w:p w:rsidR="00D644B4" w:rsidRDefault="00D644B4" w:rsidP="00D644B4">
      <w:pPr>
        <w:spacing w:after="0"/>
        <w:ind w:right="-234"/>
        <w:jc w:val="center"/>
        <w:rPr>
          <w:sz w:val="24"/>
          <w:szCs w:val="24"/>
        </w:rPr>
      </w:pPr>
    </w:p>
    <w:p w:rsidR="00695F43" w:rsidRDefault="00D70EC7" w:rsidP="00D644B4">
      <w:pPr>
        <w:spacing w:after="0"/>
        <w:ind w:right="-234"/>
        <w:rPr>
          <w:sz w:val="24"/>
          <w:szCs w:val="24"/>
        </w:rPr>
      </w:pPr>
      <w:r w:rsidRPr="00102904">
        <w:rPr>
          <w:sz w:val="24"/>
          <w:szCs w:val="24"/>
        </w:rPr>
        <w:t>FUNDAMENTOS</w:t>
      </w:r>
      <w:r w:rsidR="00695F43" w:rsidRPr="00102904">
        <w:rPr>
          <w:sz w:val="24"/>
          <w:szCs w:val="24"/>
        </w:rPr>
        <w:t xml:space="preserve">: </w:t>
      </w:r>
    </w:p>
    <w:p w:rsidR="00BB6A56" w:rsidRPr="00102904" w:rsidRDefault="00BB6A56" w:rsidP="00D644B4">
      <w:pPr>
        <w:spacing w:after="0"/>
        <w:ind w:right="-234"/>
        <w:rPr>
          <w:sz w:val="24"/>
          <w:szCs w:val="24"/>
        </w:rPr>
      </w:pPr>
    </w:p>
    <w:p w:rsidR="00695F43" w:rsidRDefault="002B7755" w:rsidP="00D644B4">
      <w:pPr>
        <w:spacing w:after="0"/>
        <w:ind w:right="-234"/>
        <w:jc w:val="both"/>
        <w:rPr>
          <w:sz w:val="24"/>
          <w:szCs w:val="24"/>
        </w:rPr>
      </w:pPr>
      <w:r>
        <w:rPr>
          <w:sz w:val="24"/>
          <w:szCs w:val="24"/>
        </w:rPr>
        <w:t>En e</w:t>
      </w:r>
      <w:r w:rsidR="00695F43" w:rsidRPr="00102904">
        <w:rPr>
          <w:sz w:val="24"/>
          <w:szCs w:val="24"/>
        </w:rPr>
        <w:t>l contexto del debate sobre la pastilla anticonceptiva de emergencia, la ex Presidenta de la República</w:t>
      </w:r>
      <w:r>
        <w:rPr>
          <w:sz w:val="24"/>
          <w:szCs w:val="24"/>
        </w:rPr>
        <w:t xml:space="preserve"> Michelle Bachelet, a través del </w:t>
      </w:r>
      <w:r w:rsidR="00695F43" w:rsidRPr="00102904">
        <w:rPr>
          <w:sz w:val="24"/>
          <w:szCs w:val="24"/>
        </w:rPr>
        <w:t xml:space="preserve">Mensaje </w:t>
      </w:r>
      <w:r>
        <w:rPr>
          <w:sz w:val="24"/>
          <w:szCs w:val="24"/>
        </w:rPr>
        <w:t xml:space="preserve">con fecha </w:t>
      </w:r>
      <w:r w:rsidR="00695F43" w:rsidRPr="00102904">
        <w:rPr>
          <w:sz w:val="24"/>
          <w:szCs w:val="24"/>
        </w:rPr>
        <w:t>30 de junio de</w:t>
      </w:r>
      <w:r w:rsidR="004A049A">
        <w:rPr>
          <w:sz w:val="24"/>
          <w:szCs w:val="24"/>
        </w:rPr>
        <w:t>l</w:t>
      </w:r>
      <w:r w:rsidR="00695F43" w:rsidRPr="00102904">
        <w:rPr>
          <w:sz w:val="24"/>
          <w:szCs w:val="24"/>
        </w:rPr>
        <w:t xml:space="preserve"> 2009, da</w:t>
      </w:r>
      <w:r w:rsidR="00D644B4">
        <w:rPr>
          <w:sz w:val="24"/>
          <w:szCs w:val="24"/>
        </w:rPr>
        <w:t xml:space="preserve"> </w:t>
      </w:r>
      <w:r w:rsidR="00695F43" w:rsidRPr="00102904">
        <w:rPr>
          <w:sz w:val="24"/>
          <w:szCs w:val="24"/>
        </w:rPr>
        <w:t xml:space="preserve"> inicio a un proyecto de ley sobre información, orientación y prestaciones en materia de regulación de la fertilidad, </w:t>
      </w:r>
      <w:r w:rsidR="00FB7821">
        <w:rPr>
          <w:sz w:val="24"/>
          <w:szCs w:val="24"/>
        </w:rPr>
        <w:t xml:space="preserve">que da paso a la publicación de la Ley N°20.418 </w:t>
      </w:r>
      <w:r w:rsidR="00695F43" w:rsidRPr="00102904">
        <w:rPr>
          <w:sz w:val="24"/>
          <w:szCs w:val="24"/>
        </w:rPr>
        <w:t xml:space="preserve">el </w:t>
      </w:r>
      <w:r w:rsidR="00FB7821">
        <w:rPr>
          <w:sz w:val="24"/>
          <w:szCs w:val="24"/>
        </w:rPr>
        <w:t xml:space="preserve">día </w:t>
      </w:r>
      <w:r w:rsidR="00695F43" w:rsidRPr="00102904">
        <w:rPr>
          <w:sz w:val="24"/>
          <w:szCs w:val="24"/>
        </w:rPr>
        <w:t>28 de enero del</w:t>
      </w:r>
      <w:r w:rsidR="00FB7821">
        <w:rPr>
          <w:sz w:val="24"/>
          <w:szCs w:val="24"/>
        </w:rPr>
        <w:t xml:space="preserve"> año 2010. </w:t>
      </w:r>
    </w:p>
    <w:p w:rsidR="00BB6A56" w:rsidRPr="00102904" w:rsidRDefault="00BB6A56" w:rsidP="00D644B4">
      <w:pPr>
        <w:spacing w:after="0"/>
        <w:ind w:right="-234"/>
        <w:jc w:val="both"/>
        <w:rPr>
          <w:sz w:val="24"/>
          <w:szCs w:val="24"/>
        </w:rPr>
      </w:pPr>
    </w:p>
    <w:p w:rsidR="00695F43" w:rsidRDefault="00FB7821" w:rsidP="00D644B4">
      <w:pPr>
        <w:spacing w:after="0"/>
        <w:ind w:right="-234"/>
        <w:jc w:val="both"/>
        <w:rPr>
          <w:sz w:val="24"/>
          <w:szCs w:val="24"/>
        </w:rPr>
      </w:pPr>
      <w:r>
        <w:rPr>
          <w:sz w:val="24"/>
          <w:szCs w:val="24"/>
        </w:rPr>
        <w:t>El principal propósito de la norma e</w:t>
      </w:r>
      <w:r w:rsidR="00695F43" w:rsidRPr="00102904">
        <w:rPr>
          <w:sz w:val="24"/>
          <w:szCs w:val="24"/>
        </w:rPr>
        <w:t xml:space="preserve">s reconocer legalmente los derechos que las personas tienen en materia de regulación de </w:t>
      </w:r>
      <w:r>
        <w:rPr>
          <w:sz w:val="24"/>
          <w:szCs w:val="24"/>
        </w:rPr>
        <w:t xml:space="preserve">la </w:t>
      </w:r>
      <w:r w:rsidR="00695F43" w:rsidRPr="00102904">
        <w:rPr>
          <w:sz w:val="24"/>
          <w:szCs w:val="24"/>
        </w:rPr>
        <w:t>fertilidad, y como contrapartida, los deberes que pesan sobre el Estado en esta materia. Habilita, en general, a todos los órganos de la Administración del Estado para realizar planes, prog</w:t>
      </w:r>
      <w:r>
        <w:rPr>
          <w:sz w:val="24"/>
          <w:szCs w:val="24"/>
        </w:rPr>
        <w:t>ramas y acciones relativos al ejercicio</w:t>
      </w:r>
      <w:r w:rsidR="00D644B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="00695F43" w:rsidRPr="00102904">
        <w:rPr>
          <w:sz w:val="24"/>
          <w:szCs w:val="24"/>
        </w:rPr>
        <w:t>de los derechos de la p</w:t>
      </w:r>
      <w:r>
        <w:rPr>
          <w:sz w:val="24"/>
          <w:szCs w:val="24"/>
        </w:rPr>
        <w:t xml:space="preserve">oblación a obtener información </w:t>
      </w:r>
      <w:r w:rsidR="00695F43" w:rsidRPr="00102904">
        <w:rPr>
          <w:sz w:val="24"/>
          <w:szCs w:val="24"/>
        </w:rPr>
        <w:t xml:space="preserve">y orientación sobre regulación de la </w:t>
      </w:r>
      <w:r>
        <w:rPr>
          <w:sz w:val="24"/>
          <w:szCs w:val="24"/>
        </w:rPr>
        <w:t>fertilidad, así como a recibir</w:t>
      </w:r>
      <w:r w:rsidR="00695F43" w:rsidRPr="00102904">
        <w:rPr>
          <w:sz w:val="24"/>
          <w:szCs w:val="24"/>
        </w:rPr>
        <w:t xml:space="preserve"> educación para la vida afectiva y sexual,</w:t>
      </w:r>
      <w:r w:rsidR="00CD5628">
        <w:rPr>
          <w:sz w:val="24"/>
          <w:szCs w:val="24"/>
        </w:rPr>
        <w:t xml:space="preserve"> que permita decidir sobre </w:t>
      </w:r>
      <w:r>
        <w:rPr>
          <w:sz w:val="24"/>
          <w:szCs w:val="24"/>
        </w:rPr>
        <w:t>los métodos anticonceptivos</w:t>
      </w:r>
      <w:r w:rsidRPr="00102904">
        <w:rPr>
          <w:sz w:val="24"/>
          <w:szCs w:val="24"/>
        </w:rPr>
        <w:t xml:space="preserve"> </w:t>
      </w:r>
      <w:r w:rsidR="00695F43" w:rsidRPr="00102904">
        <w:rPr>
          <w:sz w:val="24"/>
          <w:szCs w:val="24"/>
        </w:rPr>
        <w:t xml:space="preserve">y acceder </w:t>
      </w:r>
      <w:r w:rsidR="00CD5628">
        <w:rPr>
          <w:sz w:val="24"/>
          <w:szCs w:val="24"/>
        </w:rPr>
        <w:t>a estos. D</w:t>
      </w:r>
      <w:r>
        <w:rPr>
          <w:sz w:val="24"/>
          <w:szCs w:val="24"/>
        </w:rPr>
        <w:t>e esta manera, se busca</w:t>
      </w:r>
      <w:r w:rsidR="00CD5628">
        <w:rPr>
          <w:sz w:val="24"/>
          <w:szCs w:val="24"/>
        </w:rPr>
        <w:t xml:space="preserve"> </w:t>
      </w:r>
      <w:r w:rsidR="004A049A">
        <w:rPr>
          <w:sz w:val="24"/>
          <w:szCs w:val="24"/>
        </w:rPr>
        <w:t>preven</w:t>
      </w:r>
      <w:r w:rsidR="00CD5628">
        <w:rPr>
          <w:sz w:val="24"/>
          <w:szCs w:val="24"/>
        </w:rPr>
        <w:t xml:space="preserve">ir el </w:t>
      </w:r>
      <w:r w:rsidR="00695F43" w:rsidRPr="00102904">
        <w:rPr>
          <w:sz w:val="24"/>
          <w:szCs w:val="24"/>
        </w:rPr>
        <w:t xml:space="preserve">embarazo adolescente, </w:t>
      </w:r>
      <w:r w:rsidR="00CD5628">
        <w:rPr>
          <w:sz w:val="24"/>
          <w:szCs w:val="24"/>
        </w:rPr>
        <w:t xml:space="preserve">las </w:t>
      </w:r>
      <w:r w:rsidR="00695F43" w:rsidRPr="00102904">
        <w:rPr>
          <w:sz w:val="24"/>
          <w:szCs w:val="24"/>
        </w:rPr>
        <w:t xml:space="preserve">infecciones de transmisión sexual, </w:t>
      </w:r>
      <w:r w:rsidR="00CD5628">
        <w:rPr>
          <w:sz w:val="24"/>
          <w:szCs w:val="24"/>
        </w:rPr>
        <w:t xml:space="preserve">la </w:t>
      </w:r>
      <w:r w:rsidR="00695F43" w:rsidRPr="00102904">
        <w:rPr>
          <w:sz w:val="24"/>
          <w:szCs w:val="24"/>
        </w:rPr>
        <w:t>violencia sexual y regular</w:t>
      </w:r>
      <w:r w:rsidR="00CD5628">
        <w:rPr>
          <w:sz w:val="24"/>
          <w:szCs w:val="24"/>
        </w:rPr>
        <w:t xml:space="preserve">, </w:t>
      </w:r>
      <w:r w:rsidR="00D644B4">
        <w:rPr>
          <w:sz w:val="24"/>
          <w:szCs w:val="24"/>
        </w:rPr>
        <w:t xml:space="preserve"> </w:t>
      </w:r>
      <w:r w:rsidR="00CD5628">
        <w:rPr>
          <w:sz w:val="24"/>
          <w:szCs w:val="24"/>
        </w:rPr>
        <w:t xml:space="preserve">en particular, </w:t>
      </w:r>
      <w:r w:rsidR="00695F43" w:rsidRPr="00102904">
        <w:rPr>
          <w:sz w:val="24"/>
          <w:szCs w:val="24"/>
        </w:rPr>
        <w:t>el</w:t>
      </w:r>
      <w:r w:rsidR="00CD5628">
        <w:rPr>
          <w:sz w:val="24"/>
          <w:szCs w:val="24"/>
        </w:rPr>
        <w:t xml:space="preserve"> acceso al </w:t>
      </w:r>
      <w:r w:rsidR="00695F43" w:rsidRPr="00102904">
        <w:rPr>
          <w:sz w:val="24"/>
          <w:szCs w:val="24"/>
        </w:rPr>
        <w:t xml:space="preserve">método anticonceptivo de emergencia. </w:t>
      </w:r>
    </w:p>
    <w:p w:rsidR="00BB6A56" w:rsidRPr="00102904" w:rsidRDefault="00BB6A56" w:rsidP="00D644B4">
      <w:pPr>
        <w:spacing w:after="0"/>
        <w:ind w:right="-234"/>
        <w:jc w:val="both"/>
        <w:rPr>
          <w:sz w:val="24"/>
          <w:szCs w:val="24"/>
        </w:rPr>
      </w:pPr>
    </w:p>
    <w:p w:rsidR="00892BC9" w:rsidRDefault="00892BC9" w:rsidP="00D644B4">
      <w:pPr>
        <w:spacing w:after="0"/>
        <w:ind w:right="-234"/>
        <w:jc w:val="both"/>
        <w:rPr>
          <w:sz w:val="24"/>
          <w:szCs w:val="24"/>
        </w:rPr>
      </w:pPr>
      <w:r w:rsidRPr="00102904">
        <w:rPr>
          <w:sz w:val="24"/>
          <w:szCs w:val="24"/>
        </w:rPr>
        <w:t xml:space="preserve">En razón </w:t>
      </w:r>
      <w:proofErr w:type="gramStart"/>
      <w:r w:rsidRPr="00102904">
        <w:rPr>
          <w:sz w:val="24"/>
          <w:szCs w:val="24"/>
        </w:rPr>
        <w:t xml:space="preserve">del interés ciudadano presentado en el último tiempo respecto a la legislación en materia de VIH SIDA, </w:t>
      </w:r>
      <w:r w:rsidR="003D6136">
        <w:rPr>
          <w:sz w:val="24"/>
          <w:szCs w:val="24"/>
        </w:rPr>
        <w:t>parlamentarios</w:t>
      </w:r>
      <w:proofErr w:type="gramEnd"/>
      <w:r w:rsidRPr="00102904">
        <w:rPr>
          <w:sz w:val="24"/>
          <w:szCs w:val="24"/>
        </w:rPr>
        <w:t xml:space="preserve"> de la Comisión de Salud de la Cámara de Diputados solicitaron al Comité Evaluación de la Ley de la Corporación, analizar la Ley N° 20.418, solicitud que fue ingresada al Departamento a finales de abril de 2018. </w:t>
      </w:r>
    </w:p>
    <w:p w:rsidR="00BB6A56" w:rsidRPr="00102904" w:rsidRDefault="00BB6A56" w:rsidP="00D644B4">
      <w:pPr>
        <w:spacing w:after="0"/>
        <w:ind w:right="-234"/>
        <w:jc w:val="both"/>
        <w:rPr>
          <w:sz w:val="24"/>
          <w:szCs w:val="24"/>
        </w:rPr>
      </w:pPr>
    </w:p>
    <w:p w:rsidR="009E1B6E" w:rsidRDefault="00892BC9" w:rsidP="00D644B4">
      <w:pPr>
        <w:spacing w:after="0"/>
        <w:ind w:right="-234"/>
        <w:jc w:val="both"/>
        <w:rPr>
          <w:sz w:val="24"/>
          <w:szCs w:val="24"/>
        </w:rPr>
      </w:pPr>
      <w:r w:rsidRPr="00102904">
        <w:rPr>
          <w:sz w:val="24"/>
          <w:szCs w:val="24"/>
        </w:rPr>
        <w:t>Dentro de los resultados del estudio, se constató que las notificaciones de casos de VIH han aumentado entre los años 2013-2017, consignándose para el año 2017 la cantidad de 3.291 casos notificados</w:t>
      </w:r>
      <w:r w:rsidRPr="00102904">
        <w:rPr>
          <w:rStyle w:val="Refdenotaalpie"/>
          <w:sz w:val="24"/>
          <w:szCs w:val="24"/>
        </w:rPr>
        <w:footnoteReference w:id="1"/>
      </w:r>
      <w:r w:rsidRPr="00102904">
        <w:rPr>
          <w:sz w:val="24"/>
          <w:szCs w:val="24"/>
        </w:rPr>
        <w:t>.</w:t>
      </w:r>
      <w:r w:rsidR="003D6136">
        <w:rPr>
          <w:sz w:val="24"/>
          <w:szCs w:val="24"/>
        </w:rPr>
        <w:t>Estos se concentran en el grupo etario de personas entre</w:t>
      </w:r>
      <w:r w:rsidR="009E1B6E" w:rsidRPr="00102904">
        <w:rPr>
          <w:sz w:val="24"/>
          <w:szCs w:val="24"/>
        </w:rPr>
        <w:t xml:space="preserve"> 25 a 29 años, con 772 casos notificados, seguidos por los rangos de 20 a 24 años y 30 a 34 años, con 590 notificaciones cada uno.</w:t>
      </w:r>
    </w:p>
    <w:p w:rsidR="00BB6A56" w:rsidRPr="00102904" w:rsidRDefault="00BB6A56" w:rsidP="00D644B4">
      <w:pPr>
        <w:spacing w:after="0"/>
        <w:ind w:right="-234"/>
        <w:jc w:val="both"/>
        <w:rPr>
          <w:sz w:val="24"/>
          <w:szCs w:val="24"/>
        </w:rPr>
      </w:pPr>
    </w:p>
    <w:p w:rsidR="00050C48" w:rsidRDefault="003D6136" w:rsidP="00D644B4">
      <w:pPr>
        <w:spacing w:after="0"/>
        <w:ind w:right="-234"/>
        <w:jc w:val="both"/>
        <w:rPr>
          <w:sz w:val="24"/>
          <w:szCs w:val="24"/>
        </w:rPr>
      </w:pPr>
      <w:r>
        <w:rPr>
          <w:sz w:val="24"/>
          <w:szCs w:val="24"/>
        </w:rPr>
        <w:t>Otras enfermeda</w:t>
      </w:r>
      <w:r w:rsidR="002A6A6C">
        <w:rPr>
          <w:sz w:val="24"/>
          <w:szCs w:val="24"/>
        </w:rPr>
        <w:t>des de transmisión sexual, como</w:t>
      </w:r>
      <w:r>
        <w:rPr>
          <w:sz w:val="24"/>
          <w:szCs w:val="24"/>
        </w:rPr>
        <w:t xml:space="preserve"> la Sífilis</w:t>
      </w:r>
      <w:r w:rsidR="002A6A6C">
        <w:rPr>
          <w:sz w:val="24"/>
          <w:szCs w:val="24"/>
        </w:rPr>
        <w:t xml:space="preserve"> y la Gonorrea </w:t>
      </w:r>
      <w:r>
        <w:rPr>
          <w:sz w:val="24"/>
          <w:szCs w:val="24"/>
        </w:rPr>
        <w:t xml:space="preserve">experimentaron un incremento </w:t>
      </w:r>
      <w:r w:rsidR="008F4B9A">
        <w:rPr>
          <w:sz w:val="24"/>
          <w:szCs w:val="24"/>
        </w:rPr>
        <w:t xml:space="preserve">durante el año </w:t>
      </w:r>
      <w:r w:rsidR="00050C48" w:rsidRPr="00102904">
        <w:rPr>
          <w:sz w:val="24"/>
          <w:szCs w:val="24"/>
        </w:rPr>
        <w:t xml:space="preserve"> 2017</w:t>
      </w:r>
      <w:r>
        <w:rPr>
          <w:sz w:val="24"/>
          <w:szCs w:val="24"/>
        </w:rPr>
        <w:t xml:space="preserve">. La primera, registró </w:t>
      </w:r>
      <w:r w:rsidR="008F4B9A">
        <w:rPr>
          <w:sz w:val="24"/>
          <w:szCs w:val="24"/>
        </w:rPr>
        <w:t>5960 notificaciones, aumentando</w:t>
      </w:r>
      <w:r w:rsidR="00F96944">
        <w:rPr>
          <w:sz w:val="24"/>
          <w:szCs w:val="24"/>
        </w:rPr>
        <w:t xml:space="preserve"> en </w:t>
      </w:r>
      <w:r w:rsidR="00F96944">
        <w:rPr>
          <w:sz w:val="24"/>
          <w:szCs w:val="24"/>
        </w:rPr>
        <w:lastRenderedPageBreak/>
        <w:t>42,3</w:t>
      </w:r>
      <w:r w:rsidR="008F4B9A">
        <w:rPr>
          <w:sz w:val="24"/>
          <w:szCs w:val="24"/>
        </w:rPr>
        <w:t xml:space="preserve">% respecto del año anterior, mientras que la segunda, registró un </w:t>
      </w:r>
      <w:r w:rsidR="00F96944">
        <w:rPr>
          <w:sz w:val="24"/>
          <w:szCs w:val="24"/>
        </w:rPr>
        <w:t>incremento de 725 casos, que corresponden a un 35,5%</w:t>
      </w:r>
      <w:r w:rsidR="008F4B9A">
        <w:rPr>
          <w:sz w:val="24"/>
          <w:szCs w:val="24"/>
        </w:rPr>
        <w:t>.</w:t>
      </w:r>
    </w:p>
    <w:p w:rsidR="00BB6A56" w:rsidRPr="00102904" w:rsidRDefault="00BB6A56" w:rsidP="00D644B4">
      <w:pPr>
        <w:spacing w:after="0"/>
        <w:ind w:right="-234"/>
        <w:jc w:val="both"/>
        <w:rPr>
          <w:sz w:val="24"/>
          <w:szCs w:val="24"/>
        </w:rPr>
      </w:pPr>
    </w:p>
    <w:p w:rsidR="008F4B9A" w:rsidRDefault="00821AD4" w:rsidP="00D644B4">
      <w:pPr>
        <w:spacing w:after="0"/>
        <w:ind w:right="-234"/>
        <w:jc w:val="both"/>
        <w:rPr>
          <w:sz w:val="24"/>
          <w:szCs w:val="24"/>
        </w:rPr>
      </w:pPr>
      <w:r w:rsidRPr="00102904">
        <w:rPr>
          <w:sz w:val="24"/>
          <w:szCs w:val="24"/>
        </w:rPr>
        <w:t>Otro antecedente a considerar, es</w:t>
      </w:r>
      <w:r w:rsidR="008F4B9A">
        <w:rPr>
          <w:sz w:val="24"/>
          <w:szCs w:val="24"/>
        </w:rPr>
        <w:t xml:space="preserve"> la reducción en la edad en que los jóvenes se inician sexualmente, la que  bordea en promedio los 16,6 años, según registró la </w:t>
      </w:r>
      <w:r w:rsidR="008F4B9A" w:rsidRPr="00102904">
        <w:rPr>
          <w:sz w:val="24"/>
          <w:szCs w:val="24"/>
        </w:rPr>
        <w:t>8va Encuesta Nacional de Juventud aplicada el año 2015</w:t>
      </w:r>
      <w:r w:rsidR="008F4B9A">
        <w:rPr>
          <w:sz w:val="24"/>
          <w:szCs w:val="24"/>
        </w:rPr>
        <w:t>. S</w:t>
      </w:r>
      <w:r w:rsidR="008F4B9A" w:rsidRPr="00102904">
        <w:rPr>
          <w:sz w:val="24"/>
          <w:szCs w:val="24"/>
        </w:rPr>
        <w:t>in embargo, durante la investigación realizada por el Departamento de Evaluación de la Ley de la Cámara de Diputados, profesionales de</w:t>
      </w:r>
      <w:r w:rsidR="00D644B4">
        <w:rPr>
          <w:sz w:val="24"/>
          <w:szCs w:val="24"/>
        </w:rPr>
        <w:t xml:space="preserve">  </w:t>
      </w:r>
      <w:r w:rsidR="008F4B9A" w:rsidRPr="00102904">
        <w:rPr>
          <w:sz w:val="24"/>
          <w:szCs w:val="24"/>
        </w:rPr>
        <w:t xml:space="preserve"> la salud, pertenecientes a distintos CESFAM de la Región Metropolitana, señalaron que de acuerdo a su experiencia y percepción, la edad de iniciación de la vida sexual en la población chilena es incluso inferior a los 15 años.</w:t>
      </w:r>
    </w:p>
    <w:p w:rsidR="00BB6A56" w:rsidRDefault="00BB6A56" w:rsidP="00D644B4">
      <w:pPr>
        <w:spacing w:after="0"/>
        <w:ind w:right="-234"/>
        <w:jc w:val="both"/>
        <w:rPr>
          <w:sz w:val="24"/>
          <w:szCs w:val="24"/>
        </w:rPr>
      </w:pPr>
    </w:p>
    <w:p w:rsidR="006710F2" w:rsidRDefault="006710F2" w:rsidP="00D644B4">
      <w:pPr>
        <w:spacing w:after="0"/>
        <w:ind w:right="-234"/>
        <w:jc w:val="both"/>
        <w:rPr>
          <w:sz w:val="24"/>
          <w:szCs w:val="24"/>
        </w:rPr>
      </w:pPr>
      <w:r>
        <w:rPr>
          <w:sz w:val="24"/>
          <w:szCs w:val="24"/>
        </w:rPr>
        <w:t>En relación al ciclo de enseñanza en que la población accede a educación en sexualidad, afectividad y género, la Ley N° 20.418</w:t>
      </w:r>
      <w:r w:rsidR="00925CFE">
        <w:rPr>
          <w:sz w:val="24"/>
          <w:szCs w:val="24"/>
        </w:rPr>
        <w:t xml:space="preserve"> en su artículo 1, inciso cuarto</w:t>
      </w:r>
      <w:r w:rsidRPr="00102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señala que todo </w:t>
      </w:r>
      <w:r w:rsidRPr="00102904">
        <w:rPr>
          <w:sz w:val="24"/>
          <w:szCs w:val="24"/>
        </w:rPr>
        <w:t xml:space="preserve">establecimiento educacional reconocido por el Estado, deberá incluir un programa de educación sexual aplicable al ciclo de enseñanza media, reduciendo, por tanto, la entrega </w:t>
      </w:r>
      <w:r w:rsidR="00D644B4">
        <w:rPr>
          <w:sz w:val="24"/>
          <w:szCs w:val="24"/>
        </w:rPr>
        <w:t xml:space="preserve">  </w:t>
      </w:r>
      <w:r w:rsidRPr="00102904">
        <w:rPr>
          <w:sz w:val="24"/>
          <w:szCs w:val="24"/>
        </w:rPr>
        <w:t>de dichos conocimientos solo a aquellos alumnos que</w:t>
      </w:r>
      <w:r>
        <w:rPr>
          <w:sz w:val="24"/>
          <w:szCs w:val="24"/>
        </w:rPr>
        <w:t xml:space="preserve"> cursen ese período educativo. S</w:t>
      </w:r>
      <w:r w:rsidRPr="00102904">
        <w:rPr>
          <w:sz w:val="24"/>
          <w:szCs w:val="24"/>
        </w:rPr>
        <w:t xml:space="preserve">in embargo, </w:t>
      </w:r>
      <w:r>
        <w:rPr>
          <w:sz w:val="24"/>
          <w:szCs w:val="24"/>
        </w:rPr>
        <w:t xml:space="preserve">como se señalara anteriormente, </w:t>
      </w:r>
      <w:r w:rsidRPr="0010290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esta </w:t>
      </w:r>
      <w:r w:rsidRPr="00102904">
        <w:rPr>
          <w:sz w:val="24"/>
          <w:szCs w:val="24"/>
        </w:rPr>
        <w:t xml:space="preserve"> debiese estar incorporada con antelación </w:t>
      </w:r>
      <w:r w:rsidR="00D644B4">
        <w:rPr>
          <w:sz w:val="24"/>
          <w:szCs w:val="24"/>
        </w:rPr>
        <w:t xml:space="preserve"> </w:t>
      </w:r>
      <w:r w:rsidRPr="00102904">
        <w:rPr>
          <w:sz w:val="24"/>
          <w:szCs w:val="24"/>
        </w:rPr>
        <w:t>a dich</w:t>
      </w:r>
      <w:r>
        <w:rPr>
          <w:sz w:val="24"/>
          <w:szCs w:val="24"/>
        </w:rPr>
        <w:t>o nivel educativo</w:t>
      </w:r>
      <w:r w:rsidRPr="00102904">
        <w:rPr>
          <w:sz w:val="24"/>
          <w:szCs w:val="24"/>
        </w:rPr>
        <w:t>, con el objeto de que los adolescente</w:t>
      </w:r>
      <w:r>
        <w:rPr>
          <w:sz w:val="24"/>
          <w:szCs w:val="24"/>
        </w:rPr>
        <w:t>s</w:t>
      </w:r>
      <w:r w:rsidRPr="00102904">
        <w:rPr>
          <w:sz w:val="24"/>
          <w:szCs w:val="24"/>
        </w:rPr>
        <w:t xml:space="preserve"> sean capaces y estén preparados para tomar decisiones que involucren la afectividad</w:t>
      </w:r>
      <w:r>
        <w:rPr>
          <w:sz w:val="24"/>
          <w:szCs w:val="24"/>
        </w:rPr>
        <w:t>, sexualidad y fertilidad.</w:t>
      </w:r>
      <w:r w:rsidRPr="00102904">
        <w:rPr>
          <w:sz w:val="24"/>
          <w:szCs w:val="24"/>
        </w:rPr>
        <w:t xml:space="preserve"> </w:t>
      </w:r>
    </w:p>
    <w:p w:rsidR="00BB6A56" w:rsidRDefault="00BB6A56" w:rsidP="00D644B4">
      <w:pPr>
        <w:spacing w:after="0"/>
        <w:ind w:right="-234"/>
        <w:jc w:val="both"/>
        <w:rPr>
          <w:sz w:val="24"/>
          <w:szCs w:val="24"/>
        </w:rPr>
      </w:pPr>
    </w:p>
    <w:p w:rsidR="006710F2" w:rsidRPr="00102904" w:rsidRDefault="006710F2" w:rsidP="00D644B4">
      <w:pPr>
        <w:spacing w:after="0"/>
        <w:ind w:right="-234"/>
        <w:jc w:val="both"/>
        <w:rPr>
          <w:i/>
          <w:sz w:val="24"/>
          <w:szCs w:val="24"/>
        </w:rPr>
      </w:pPr>
      <w:r>
        <w:rPr>
          <w:sz w:val="24"/>
          <w:szCs w:val="24"/>
        </w:rPr>
        <w:t>En un mismo sentido, d</w:t>
      </w:r>
      <w:r w:rsidRPr="00102904">
        <w:rPr>
          <w:sz w:val="24"/>
          <w:szCs w:val="24"/>
        </w:rPr>
        <w:t xml:space="preserve">e acuerdo a los Estándares de Educación Sexual para Europa </w:t>
      </w:r>
      <w:r>
        <w:rPr>
          <w:sz w:val="24"/>
          <w:szCs w:val="24"/>
        </w:rPr>
        <w:t>“</w:t>
      </w:r>
      <w:r w:rsidRPr="00102904">
        <w:rPr>
          <w:i/>
          <w:sz w:val="24"/>
          <w:szCs w:val="24"/>
        </w:rPr>
        <w:t>La educación sexual comienza en la primera infancia y progresa a través de la adolescencia y adultez, aspira a proteger y apoyar un desarrollo seguro de la sexualidad en la infancia y juventud, así, se prepara y da competencia a niños, niñas y jóvenes a través de información, habilidades y valores positivos para que comprendan y disfruten de su sexualidad y de sus relaciones de manera segura y satisfactoria, responsabilizándose de sus propia salud sexual</w:t>
      </w:r>
      <w:r w:rsidR="00D644B4">
        <w:rPr>
          <w:i/>
          <w:sz w:val="24"/>
          <w:szCs w:val="24"/>
        </w:rPr>
        <w:t xml:space="preserve"> </w:t>
      </w:r>
      <w:r w:rsidRPr="00102904">
        <w:rPr>
          <w:i/>
          <w:sz w:val="24"/>
          <w:szCs w:val="24"/>
        </w:rPr>
        <w:t xml:space="preserve"> y bienestar y de las otras personas</w:t>
      </w:r>
      <w:r>
        <w:rPr>
          <w:i/>
          <w:sz w:val="24"/>
          <w:szCs w:val="24"/>
        </w:rPr>
        <w:t>”</w:t>
      </w:r>
      <w:r w:rsidRPr="00102904">
        <w:rPr>
          <w:rStyle w:val="Refdenotaalpie"/>
          <w:i/>
          <w:sz w:val="24"/>
          <w:szCs w:val="24"/>
        </w:rPr>
        <w:footnoteReference w:id="2"/>
      </w:r>
      <w:r w:rsidRPr="00102904">
        <w:rPr>
          <w:i/>
          <w:sz w:val="24"/>
          <w:szCs w:val="24"/>
        </w:rPr>
        <w:t>.</w:t>
      </w:r>
    </w:p>
    <w:p w:rsidR="006710F2" w:rsidRDefault="006710F2" w:rsidP="00D644B4">
      <w:pPr>
        <w:spacing w:after="0"/>
        <w:ind w:right="-234"/>
        <w:jc w:val="both"/>
        <w:rPr>
          <w:sz w:val="24"/>
          <w:szCs w:val="24"/>
        </w:rPr>
      </w:pPr>
    </w:p>
    <w:p w:rsidR="002302E1" w:rsidRDefault="001129DC" w:rsidP="00D644B4">
      <w:pPr>
        <w:spacing w:after="0"/>
        <w:ind w:right="-234"/>
        <w:jc w:val="both"/>
        <w:rPr>
          <w:sz w:val="24"/>
          <w:szCs w:val="24"/>
        </w:rPr>
      </w:pPr>
      <w:r>
        <w:rPr>
          <w:sz w:val="24"/>
          <w:szCs w:val="24"/>
        </w:rPr>
        <w:t>L</w:t>
      </w:r>
      <w:r w:rsidR="002302E1" w:rsidRPr="00102904">
        <w:rPr>
          <w:sz w:val="24"/>
          <w:szCs w:val="24"/>
        </w:rPr>
        <w:t xml:space="preserve">a presente iniciativa busca perfeccionar las disposiciones de la Ley N°20.418, en particular </w:t>
      </w:r>
      <w:r w:rsidR="00D644B4">
        <w:rPr>
          <w:sz w:val="24"/>
          <w:szCs w:val="24"/>
        </w:rPr>
        <w:t xml:space="preserve"> </w:t>
      </w:r>
      <w:r w:rsidR="002302E1" w:rsidRPr="00102904">
        <w:rPr>
          <w:sz w:val="24"/>
          <w:szCs w:val="24"/>
        </w:rPr>
        <w:t>a lo relativo a la edu</w:t>
      </w:r>
      <w:r w:rsidR="00BF2678">
        <w:rPr>
          <w:sz w:val="24"/>
          <w:szCs w:val="24"/>
        </w:rPr>
        <w:t>cación en materia de sexualidad, afectividad y género y a</w:t>
      </w:r>
      <w:r>
        <w:rPr>
          <w:sz w:val="24"/>
          <w:szCs w:val="24"/>
        </w:rPr>
        <w:t xml:space="preserve">l </w:t>
      </w:r>
      <w:r w:rsidR="00BF2678">
        <w:rPr>
          <w:sz w:val="24"/>
          <w:szCs w:val="24"/>
        </w:rPr>
        <w:t>rol del Ministerio de Educación.</w:t>
      </w:r>
    </w:p>
    <w:p w:rsidR="00BB6A56" w:rsidRPr="00102904" w:rsidRDefault="00BB6A56" w:rsidP="00D644B4">
      <w:pPr>
        <w:spacing w:after="0"/>
        <w:ind w:right="-234"/>
        <w:jc w:val="both"/>
        <w:rPr>
          <w:sz w:val="24"/>
          <w:szCs w:val="24"/>
        </w:rPr>
      </w:pPr>
    </w:p>
    <w:p w:rsidR="002302E1" w:rsidRDefault="002302E1" w:rsidP="00D644B4">
      <w:pPr>
        <w:spacing w:after="0"/>
        <w:ind w:right="-234"/>
        <w:jc w:val="both"/>
        <w:rPr>
          <w:sz w:val="24"/>
          <w:szCs w:val="24"/>
        </w:rPr>
      </w:pPr>
      <w:r w:rsidRPr="002302E1">
        <w:rPr>
          <w:sz w:val="24"/>
          <w:szCs w:val="24"/>
        </w:rPr>
        <w:t xml:space="preserve">La Ley N°20.418, en el artículo 1, inciso </w:t>
      </w:r>
      <w:r w:rsidR="004D2F70">
        <w:rPr>
          <w:sz w:val="24"/>
          <w:szCs w:val="24"/>
        </w:rPr>
        <w:t>tercero</w:t>
      </w:r>
      <w:r w:rsidRPr="002302E1">
        <w:rPr>
          <w:sz w:val="24"/>
          <w:szCs w:val="24"/>
        </w:rPr>
        <w:t xml:space="preserve">, ordena al Ministerio de Salud a dictar un reglamento que disponga el modo en que se hará efectivo el ejercicio de los </w:t>
      </w:r>
      <w:r w:rsidR="00BF2678">
        <w:rPr>
          <w:sz w:val="24"/>
          <w:szCs w:val="24"/>
        </w:rPr>
        <w:t>derechos que salvaguarda la ley. S</w:t>
      </w:r>
      <w:r w:rsidRPr="002302E1">
        <w:rPr>
          <w:sz w:val="24"/>
          <w:szCs w:val="24"/>
        </w:rPr>
        <w:t xml:space="preserve">in embargo, la norma no incluye al Ministerio de Educación como organismo responsable de regular y asegurar la calidad y equidad en el acceso a educación sexual, tampoco le otorga atribuciones legales </w:t>
      </w:r>
      <w:r>
        <w:rPr>
          <w:sz w:val="24"/>
          <w:szCs w:val="24"/>
        </w:rPr>
        <w:t xml:space="preserve">o administrativas a esta cartera ministerial </w:t>
      </w:r>
      <w:r>
        <w:rPr>
          <w:sz w:val="24"/>
          <w:szCs w:val="24"/>
        </w:rPr>
        <w:lastRenderedPageBreak/>
        <w:t xml:space="preserve">para regular que los establecimientos implementen de forma efectiva los programas de educación sexual. </w:t>
      </w:r>
    </w:p>
    <w:p w:rsidR="002302E1" w:rsidRDefault="002302E1" w:rsidP="00D644B4">
      <w:pPr>
        <w:spacing w:after="0"/>
        <w:ind w:right="-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Lo anterior, ha generado que dicho Ministerio, solo aporte orientaciones para la </w:t>
      </w:r>
      <w:r w:rsidR="00D644B4">
        <w:rPr>
          <w:sz w:val="24"/>
          <w:szCs w:val="24"/>
        </w:rPr>
        <w:t xml:space="preserve">  </w:t>
      </w:r>
      <w:r>
        <w:rPr>
          <w:sz w:val="24"/>
          <w:szCs w:val="24"/>
        </w:rPr>
        <w:t>elaboración de estos programas por parte de los establecimientos, dejando al arbitrio del sostenedor la determinación de los enfoques y contenidos que ellos integran y la ejecución de los mismos.</w:t>
      </w:r>
    </w:p>
    <w:p w:rsidR="00BB6A56" w:rsidRDefault="00BB6A56" w:rsidP="00D644B4">
      <w:pPr>
        <w:spacing w:after="0"/>
        <w:ind w:right="-234"/>
        <w:jc w:val="both"/>
        <w:rPr>
          <w:sz w:val="24"/>
          <w:szCs w:val="24"/>
        </w:rPr>
      </w:pPr>
    </w:p>
    <w:p w:rsidR="001129DC" w:rsidRDefault="00BF2678" w:rsidP="00D644B4">
      <w:pPr>
        <w:spacing w:after="0"/>
        <w:ind w:right="-23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Esto </w:t>
      </w:r>
      <w:r w:rsidR="002302E1">
        <w:rPr>
          <w:sz w:val="24"/>
          <w:szCs w:val="24"/>
        </w:rPr>
        <w:t>queda de manifiesto en el hecho de que el actual</w:t>
      </w:r>
      <w:r>
        <w:rPr>
          <w:sz w:val="24"/>
          <w:szCs w:val="24"/>
        </w:rPr>
        <w:t xml:space="preserve"> </w:t>
      </w:r>
      <w:r w:rsidR="002302E1" w:rsidRPr="00BF2678">
        <w:rPr>
          <w:i/>
          <w:sz w:val="24"/>
          <w:szCs w:val="24"/>
        </w:rPr>
        <w:t>Plan de Educación Sexual y Afectividad</w:t>
      </w:r>
      <w:r w:rsidR="002302E1">
        <w:rPr>
          <w:sz w:val="24"/>
          <w:szCs w:val="24"/>
        </w:rPr>
        <w:t>, data del año 2005</w:t>
      </w:r>
      <w:r>
        <w:rPr>
          <w:sz w:val="24"/>
          <w:szCs w:val="24"/>
        </w:rPr>
        <w:t xml:space="preserve"> sin</w:t>
      </w:r>
      <w:r w:rsidR="001129DC">
        <w:rPr>
          <w:sz w:val="24"/>
          <w:szCs w:val="24"/>
        </w:rPr>
        <w:t xml:space="preserve"> nuevas actualizaciones, salvo la elaboración de una estrategia, </w:t>
      </w:r>
      <w:r>
        <w:rPr>
          <w:sz w:val="24"/>
          <w:szCs w:val="24"/>
        </w:rPr>
        <w:t>que no se encuentra vigente</w:t>
      </w:r>
      <w:r w:rsidR="00925CFE">
        <w:rPr>
          <w:sz w:val="24"/>
          <w:szCs w:val="24"/>
        </w:rPr>
        <w:t xml:space="preserve">. </w:t>
      </w:r>
    </w:p>
    <w:p w:rsidR="001129DC" w:rsidRDefault="001129DC" w:rsidP="00D644B4">
      <w:pPr>
        <w:spacing w:after="0"/>
        <w:ind w:right="-234"/>
        <w:jc w:val="both"/>
        <w:rPr>
          <w:sz w:val="24"/>
          <w:szCs w:val="24"/>
        </w:rPr>
      </w:pPr>
    </w:p>
    <w:p w:rsidR="00925CFE" w:rsidRDefault="00925CFE" w:rsidP="00D644B4">
      <w:pPr>
        <w:spacing w:after="0"/>
        <w:ind w:right="-234"/>
        <w:jc w:val="both"/>
        <w:rPr>
          <w:sz w:val="24"/>
          <w:szCs w:val="24"/>
        </w:rPr>
      </w:pPr>
      <w:r>
        <w:rPr>
          <w:sz w:val="24"/>
          <w:szCs w:val="24"/>
        </w:rPr>
        <w:t>Finalmente, es importante destacar que el estudio realizado por el Departamento de Evaluación de la Ley de la Cámara de Diputados detectó que l</w:t>
      </w:r>
      <w:r w:rsidRPr="00925CFE">
        <w:rPr>
          <w:sz w:val="24"/>
          <w:szCs w:val="24"/>
        </w:rPr>
        <w:t>os docentes carecen de capacitación y espacios durante la jornada escolar para abordar la educación sexual, quedando restringido a las horas de orientación o en las asignaturas de biología, ciencias naturales e historia y geografía.</w:t>
      </w:r>
      <w:r w:rsidR="004E35D2">
        <w:rPr>
          <w:sz w:val="24"/>
          <w:szCs w:val="24"/>
        </w:rPr>
        <w:t xml:space="preserve"> Así, se vuelve necesario garantizar el acceso de los docentes a capacitaciones que les permitan abordar la educación en los distintos niveles de enseñanza.  </w:t>
      </w:r>
    </w:p>
    <w:p w:rsidR="00925CFE" w:rsidRDefault="00925CFE" w:rsidP="00D644B4">
      <w:pPr>
        <w:spacing w:after="0"/>
        <w:ind w:right="-234"/>
        <w:jc w:val="both"/>
        <w:rPr>
          <w:sz w:val="24"/>
          <w:szCs w:val="24"/>
        </w:rPr>
      </w:pPr>
    </w:p>
    <w:p w:rsidR="0025497F" w:rsidRPr="00BB6A56" w:rsidRDefault="0025497F" w:rsidP="00D644B4">
      <w:pPr>
        <w:spacing w:after="0"/>
        <w:ind w:right="-234"/>
        <w:jc w:val="both"/>
        <w:rPr>
          <w:b/>
          <w:sz w:val="24"/>
          <w:szCs w:val="24"/>
        </w:rPr>
      </w:pPr>
      <w:r w:rsidRPr="00BB6A56">
        <w:rPr>
          <w:b/>
          <w:sz w:val="24"/>
          <w:szCs w:val="24"/>
        </w:rPr>
        <w:t>PROYECTO DE LEY</w:t>
      </w:r>
    </w:p>
    <w:p w:rsidR="00BB6A56" w:rsidRPr="00102904" w:rsidRDefault="00BB6A56" w:rsidP="00D644B4">
      <w:pPr>
        <w:spacing w:after="0"/>
        <w:ind w:right="-234"/>
        <w:jc w:val="both"/>
        <w:rPr>
          <w:sz w:val="24"/>
          <w:szCs w:val="24"/>
        </w:rPr>
      </w:pPr>
    </w:p>
    <w:p w:rsidR="0025497F" w:rsidRDefault="0025497F" w:rsidP="00D644B4">
      <w:pPr>
        <w:spacing w:after="0"/>
        <w:ind w:right="-234"/>
        <w:jc w:val="both"/>
        <w:rPr>
          <w:sz w:val="24"/>
          <w:szCs w:val="24"/>
        </w:rPr>
      </w:pPr>
      <w:r w:rsidRPr="00102904">
        <w:rPr>
          <w:sz w:val="24"/>
          <w:szCs w:val="24"/>
        </w:rPr>
        <w:t xml:space="preserve">Artículo único. </w:t>
      </w:r>
      <w:proofErr w:type="spellStart"/>
      <w:r w:rsidRPr="00102904">
        <w:rPr>
          <w:sz w:val="24"/>
          <w:szCs w:val="24"/>
        </w:rPr>
        <w:t>Introdúcese</w:t>
      </w:r>
      <w:proofErr w:type="spellEnd"/>
      <w:r w:rsidRPr="00102904">
        <w:rPr>
          <w:sz w:val="24"/>
          <w:szCs w:val="24"/>
        </w:rPr>
        <w:t xml:space="preserve"> las siguientes modificaciones en la Ley N°20.418 que fija normas sobre información, orientación y prestaciones en materia de regulación de la fertilidad. </w:t>
      </w:r>
    </w:p>
    <w:p w:rsidR="00C31198" w:rsidRPr="00102904" w:rsidRDefault="00C31198" w:rsidP="00D644B4">
      <w:pPr>
        <w:spacing w:after="0"/>
        <w:ind w:right="-234"/>
        <w:jc w:val="both"/>
        <w:rPr>
          <w:sz w:val="24"/>
          <w:szCs w:val="24"/>
        </w:rPr>
      </w:pPr>
    </w:p>
    <w:p w:rsidR="00530A74" w:rsidRDefault="00530A74" w:rsidP="00D644B4">
      <w:pPr>
        <w:pStyle w:val="Prrafodelista"/>
        <w:numPr>
          <w:ilvl w:val="0"/>
          <w:numId w:val="2"/>
        </w:numPr>
        <w:spacing w:after="0"/>
        <w:ind w:right="-234"/>
        <w:jc w:val="both"/>
        <w:rPr>
          <w:sz w:val="24"/>
          <w:szCs w:val="24"/>
        </w:rPr>
      </w:pPr>
      <w:r w:rsidRPr="00102904">
        <w:rPr>
          <w:sz w:val="24"/>
          <w:szCs w:val="24"/>
        </w:rPr>
        <w:t>Modifícas</w:t>
      </w:r>
      <w:r w:rsidR="004E35D2">
        <w:rPr>
          <w:sz w:val="24"/>
          <w:szCs w:val="24"/>
        </w:rPr>
        <w:t>e el Título de la Ley N° 20.418 al siguiente:</w:t>
      </w:r>
    </w:p>
    <w:p w:rsidR="00C31198" w:rsidRDefault="00C31198" w:rsidP="00D644B4">
      <w:pPr>
        <w:pStyle w:val="Prrafodelista"/>
        <w:spacing w:after="0"/>
        <w:ind w:right="-234"/>
        <w:jc w:val="both"/>
        <w:rPr>
          <w:i/>
          <w:sz w:val="24"/>
          <w:szCs w:val="24"/>
        </w:rPr>
      </w:pPr>
    </w:p>
    <w:p w:rsidR="004E35D2" w:rsidRPr="004E35D2" w:rsidRDefault="004E35D2" w:rsidP="00D644B4">
      <w:pPr>
        <w:pStyle w:val="Prrafodelista"/>
        <w:spacing w:after="0"/>
        <w:ind w:right="-2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“Que fija normas sobre información, orientación y prestaciones en salud y educación sexual”</w:t>
      </w:r>
    </w:p>
    <w:p w:rsidR="00530A74" w:rsidRPr="00102904" w:rsidRDefault="00530A74" w:rsidP="00D644B4">
      <w:pPr>
        <w:pStyle w:val="Prrafodelista"/>
        <w:spacing w:after="0"/>
        <w:ind w:right="-234"/>
        <w:jc w:val="both"/>
        <w:rPr>
          <w:sz w:val="24"/>
          <w:szCs w:val="24"/>
        </w:rPr>
      </w:pPr>
    </w:p>
    <w:p w:rsidR="0025497F" w:rsidRDefault="0025497F" w:rsidP="00D644B4">
      <w:pPr>
        <w:pStyle w:val="Prrafodelista"/>
        <w:numPr>
          <w:ilvl w:val="0"/>
          <w:numId w:val="2"/>
        </w:numPr>
        <w:spacing w:after="0"/>
        <w:ind w:right="-234"/>
        <w:jc w:val="both"/>
        <w:rPr>
          <w:sz w:val="24"/>
          <w:szCs w:val="24"/>
        </w:rPr>
      </w:pPr>
      <w:r w:rsidRPr="00102904">
        <w:rPr>
          <w:sz w:val="24"/>
          <w:szCs w:val="24"/>
        </w:rPr>
        <w:t xml:space="preserve">Modifícase </w:t>
      </w:r>
      <w:r w:rsidR="00E54D51" w:rsidRPr="00102904">
        <w:rPr>
          <w:sz w:val="24"/>
          <w:szCs w:val="24"/>
        </w:rPr>
        <w:t xml:space="preserve">el artículo </w:t>
      </w:r>
      <w:r w:rsidR="00530A74" w:rsidRPr="00102904">
        <w:rPr>
          <w:sz w:val="24"/>
          <w:szCs w:val="24"/>
        </w:rPr>
        <w:t>1,</w:t>
      </w:r>
      <w:r w:rsidR="00E54D51" w:rsidRPr="00102904">
        <w:rPr>
          <w:sz w:val="24"/>
          <w:szCs w:val="24"/>
        </w:rPr>
        <w:t xml:space="preserve"> del modo siguiente:</w:t>
      </w:r>
    </w:p>
    <w:p w:rsidR="00C31198" w:rsidRPr="00102904" w:rsidRDefault="00C31198" w:rsidP="00D644B4">
      <w:pPr>
        <w:pStyle w:val="Prrafodelista"/>
        <w:spacing w:after="0"/>
        <w:ind w:right="-234"/>
        <w:jc w:val="both"/>
        <w:rPr>
          <w:sz w:val="24"/>
          <w:szCs w:val="24"/>
        </w:rPr>
      </w:pPr>
    </w:p>
    <w:p w:rsidR="00530A74" w:rsidRPr="00102904" w:rsidRDefault="00847CF5" w:rsidP="00D644B4">
      <w:pPr>
        <w:pStyle w:val="Prrafodelista"/>
        <w:numPr>
          <w:ilvl w:val="0"/>
          <w:numId w:val="3"/>
        </w:numPr>
        <w:spacing w:after="0"/>
        <w:ind w:right="-234"/>
        <w:jc w:val="both"/>
        <w:rPr>
          <w:sz w:val="24"/>
          <w:szCs w:val="24"/>
        </w:rPr>
      </w:pPr>
      <w:r w:rsidRPr="00102904">
        <w:rPr>
          <w:sz w:val="24"/>
          <w:szCs w:val="24"/>
        </w:rPr>
        <w:t>Reempláce</w:t>
      </w:r>
      <w:r w:rsidR="00021458" w:rsidRPr="00102904">
        <w:rPr>
          <w:sz w:val="24"/>
          <w:szCs w:val="24"/>
        </w:rPr>
        <w:t xml:space="preserve">se el inciso cuarto por el siguiente: </w:t>
      </w:r>
    </w:p>
    <w:p w:rsidR="002F6604" w:rsidRDefault="00021458" w:rsidP="00D644B4">
      <w:pPr>
        <w:pStyle w:val="Prrafodelista"/>
        <w:spacing w:after="0"/>
        <w:ind w:left="1080" w:right="-234"/>
        <w:jc w:val="both"/>
        <w:rPr>
          <w:i/>
          <w:sz w:val="24"/>
          <w:szCs w:val="24"/>
        </w:rPr>
      </w:pPr>
      <w:r w:rsidRPr="00102904">
        <w:rPr>
          <w:i/>
          <w:sz w:val="24"/>
          <w:szCs w:val="24"/>
        </w:rPr>
        <w:t>“Los Establecimientos educacionales reconocidos por el Estado deberán incluir</w:t>
      </w:r>
      <w:r w:rsidR="00D644B4">
        <w:rPr>
          <w:i/>
          <w:sz w:val="24"/>
          <w:szCs w:val="24"/>
        </w:rPr>
        <w:t xml:space="preserve">  </w:t>
      </w:r>
      <w:r w:rsidRPr="00102904">
        <w:rPr>
          <w:i/>
          <w:sz w:val="24"/>
          <w:szCs w:val="24"/>
        </w:rPr>
        <w:t xml:space="preserve"> un programa de educación sexual, afectividad y género desde el </w:t>
      </w:r>
      <w:r w:rsidR="0060713E" w:rsidRPr="00102904">
        <w:rPr>
          <w:i/>
          <w:sz w:val="24"/>
          <w:szCs w:val="24"/>
        </w:rPr>
        <w:t xml:space="preserve">segundo </w:t>
      </w:r>
      <w:r w:rsidR="00847CF5" w:rsidRPr="00102904">
        <w:rPr>
          <w:i/>
          <w:sz w:val="24"/>
          <w:szCs w:val="24"/>
        </w:rPr>
        <w:t xml:space="preserve">nivel </w:t>
      </w:r>
      <w:r w:rsidR="00D644B4">
        <w:rPr>
          <w:i/>
          <w:sz w:val="24"/>
          <w:szCs w:val="24"/>
        </w:rPr>
        <w:t xml:space="preserve">  </w:t>
      </w:r>
      <w:r w:rsidR="00847CF5" w:rsidRPr="00102904">
        <w:rPr>
          <w:i/>
          <w:sz w:val="24"/>
          <w:szCs w:val="24"/>
        </w:rPr>
        <w:t>de transición</w:t>
      </w:r>
      <w:r w:rsidR="007B692C" w:rsidRPr="00102904">
        <w:rPr>
          <w:i/>
          <w:sz w:val="24"/>
          <w:szCs w:val="24"/>
        </w:rPr>
        <w:t xml:space="preserve"> y</w:t>
      </w:r>
      <w:r w:rsidR="00847CF5" w:rsidRPr="00102904">
        <w:rPr>
          <w:i/>
          <w:sz w:val="24"/>
          <w:szCs w:val="24"/>
        </w:rPr>
        <w:t xml:space="preserve"> de acuerdo a la edad y madurez de los estudiantes</w:t>
      </w:r>
      <w:r w:rsidR="00C31198">
        <w:rPr>
          <w:i/>
          <w:sz w:val="24"/>
          <w:szCs w:val="24"/>
        </w:rPr>
        <w:t>. É</w:t>
      </w:r>
      <w:r w:rsidR="007666AF">
        <w:rPr>
          <w:i/>
          <w:sz w:val="24"/>
          <w:szCs w:val="24"/>
        </w:rPr>
        <w:t>ste deberá incluir co</w:t>
      </w:r>
      <w:r w:rsidR="00847CF5" w:rsidRPr="00102904">
        <w:rPr>
          <w:i/>
          <w:sz w:val="24"/>
          <w:szCs w:val="24"/>
        </w:rPr>
        <w:t xml:space="preserve">ntenidos </w:t>
      </w:r>
      <w:r w:rsidR="002F6604">
        <w:rPr>
          <w:i/>
          <w:sz w:val="24"/>
          <w:szCs w:val="24"/>
        </w:rPr>
        <w:t xml:space="preserve">mínimos </w:t>
      </w:r>
      <w:r w:rsidR="00847CF5" w:rsidRPr="00102904">
        <w:rPr>
          <w:i/>
          <w:sz w:val="24"/>
          <w:szCs w:val="24"/>
        </w:rPr>
        <w:t>que propendan a una sexualidad responsable e informe</w:t>
      </w:r>
      <w:r w:rsidR="007666AF">
        <w:rPr>
          <w:i/>
          <w:sz w:val="24"/>
          <w:szCs w:val="24"/>
        </w:rPr>
        <w:t>n</w:t>
      </w:r>
      <w:r w:rsidR="00847CF5" w:rsidRPr="00102904">
        <w:rPr>
          <w:i/>
          <w:sz w:val="24"/>
          <w:szCs w:val="24"/>
        </w:rPr>
        <w:t xml:space="preserve"> de manera completa sobre los diversos métodos anticoncep</w:t>
      </w:r>
      <w:r w:rsidR="002F6604">
        <w:rPr>
          <w:i/>
          <w:sz w:val="24"/>
          <w:szCs w:val="24"/>
        </w:rPr>
        <w:t>tivos existentes y autori</w:t>
      </w:r>
      <w:r w:rsidR="00C31198">
        <w:rPr>
          <w:i/>
          <w:sz w:val="24"/>
          <w:szCs w:val="24"/>
        </w:rPr>
        <w:t>zados, los que serán impartidos</w:t>
      </w:r>
      <w:r w:rsidR="002F6604">
        <w:rPr>
          <w:i/>
          <w:sz w:val="24"/>
          <w:szCs w:val="24"/>
        </w:rPr>
        <w:t xml:space="preserve"> por un profesional capacitado en la materia y dentro de los horarios destinados para ello. </w:t>
      </w:r>
      <w:r w:rsidR="00C31198">
        <w:rPr>
          <w:i/>
          <w:sz w:val="24"/>
          <w:szCs w:val="24"/>
        </w:rPr>
        <w:t xml:space="preserve">La implementación </w:t>
      </w:r>
      <w:r w:rsidR="00D644B4">
        <w:rPr>
          <w:i/>
          <w:sz w:val="24"/>
          <w:szCs w:val="24"/>
        </w:rPr>
        <w:t xml:space="preserve"> </w:t>
      </w:r>
      <w:r w:rsidR="00C31198">
        <w:rPr>
          <w:i/>
          <w:sz w:val="24"/>
          <w:szCs w:val="24"/>
        </w:rPr>
        <w:t>del programa será fiscalizado por el órgano con competencia en la materia.”</w:t>
      </w:r>
      <w:bookmarkStart w:id="0" w:name="_GoBack"/>
      <w:bookmarkEnd w:id="0"/>
    </w:p>
    <w:p w:rsidR="00C31198" w:rsidRDefault="00C31198" w:rsidP="00D644B4">
      <w:pPr>
        <w:pStyle w:val="Prrafodelista"/>
        <w:spacing w:after="0"/>
        <w:ind w:left="1080" w:right="-234"/>
        <w:jc w:val="both"/>
        <w:rPr>
          <w:i/>
          <w:sz w:val="24"/>
          <w:szCs w:val="24"/>
        </w:rPr>
      </w:pPr>
    </w:p>
    <w:p w:rsidR="00C31198" w:rsidRDefault="00C31198" w:rsidP="00D644B4">
      <w:pPr>
        <w:pStyle w:val="Prrafodelista"/>
        <w:spacing w:after="0"/>
        <w:ind w:left="1080" w:right="-234"/>
        <w:jc w:val="both"/>
        <w:rPr>
          <w:i/>
          <w:sz w:val="24"/>
          <w:szCs w:val="24"/>
        </w:rPr>
      </w:pPr>
    </w:p>
    <w:p w:rsidR="002F6604" w:rsidRDefault="002F6604" w:rsidP="00D644B4">
      <w:pPr>
        <w:pStyle w:val="Prrafodelista"/>
        <w:numPr>
          <w:ilvl w:val="0"/>
          <w:numId w:val="3"/>
        </w:numPr>
        <w:spacing w:after="0"/>
        <w:ind w:right="-234"/>
        <w:jc w:val="both"/>
        <w:rPr>
          <w:sz w:val="24"/>
          <w:szCs w:val="24"/>
        </w:rPr>
      </w:pPr>
      <w:r>
        <w:rPr>
          <w:sz w:val="24"/>
          <w:szCs w:val="24"/>
        </w:rPr>
        <w:t>Agrégase el siguiente inciso final, nuevo:</w:t>
      </w:r>
    </w:p>
    <w:p w:rsidR="002F6604" w:rsidRPr="002F6604" w:rsidRDefault="002F6604" w:rsidP="00D644B4">
      <w:pPr>
        <w:pStyle w:val="Prrafodelista"/>
        <w:spacing w:after="0"/>
        <w:ind w:left="1080" w:right="-234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“El Ministerio de Educación deberá dictar un reglamento que dispondrá la forma en que se hará efectivo lo dispuesto en el inciso anterior”</w:t>
      </w:r>
    </w:p>
    <w:p w:rsidR="002F6604" w:rsidRDefault="002F6604" w:rsidP="00D644B4">
      <w:pPr>
        <w:pStyle w:val="Prrafodelista"/>
        <w:spacing w:after="0"/>
        <w:ind w:left="1080" w:right="-234"/>
        <w:jc w:val="both"/>
        <w:rPr>
          <w:i/>
          <w:sz w:val="24"/>
          <w:szCs w:val="24"/>
        </w:rPr>
      </w:pPr>
    </w:p>
    <w:p w:rsidR="002F6604" w:rsidRDefault="002F6604" w:rsidP="00D644B4">
      <w:pPr>
        <w:pStyle w:val="Prrafodelista"/>
        <w:spacing w:after="0"/>
        <w:ind w:left="1080" w:right="-234"/>
        <w:jc w:val="both"/>
        <w:rPr>
          <w:i/>
          <w:sz w:val="24"/>
          <w:szCs w:val="24"/>
        </w:rPr>
      </w:pPr>
    </w:p>
    <w:p w:rsidR="002F6604" w:rsidRDefault="002F6604" w:rsidP="00D644B4">
      <w:pPr>
        <w:pStyle w:val="Prrafodelista"/>
        <w:spacing w:after="0"/>
        <w:ind w:left="1080" w:right="-234"/>
        <w:jc w:val="both"/>
        <w:rPr>
          <w:i/>
          <w:sz w:val="24"/>
          <w:szCs w:val="24"/>
        </w:rPr>
      </w:pPr>
    </w:p>
    <w:p w:rsidR="00063425" w:rsidRDefault="00063425" w:rsidP="00D644B4">
      <w:pPr>
        <w:pStyle w:val="Prrafodelista"/>
        <w:spacing w:after="0"/>
        <w:ind w:left="1080" w:right="-234"/>
        <w:jc w:val="both"/>
        <w:rPr>
          <w:i/>
          <w:sz w:val="24"/>
          <w:szCs w:val="24"/>
        </w:rPr>
      </w:pPr>
    </w:p>
    <w:p w:rsidR="00063425" w:rsidRDefault="00063425" w:rsidP="00D644B4">
      <w:pPr>
        <w:pStyle w:val="Prrafodelista"/>
        <w:spacing w:after="0"/>
        <w:ind w:left="1080" w:right="-234"/>
        <w:jc w:val="both"/>
        <w:rPr>
          <w:i/>
          <w:sz w:val="24"/>
          <w:szCs w:val="24"/>
        </w:rPr>
      </w:pPr>
    </w:p>
    <w:p w:rsidR="00063425" w:rsidRPr="00102904" w:rsidRDefault="00063425" w:rsidP="00D644B4">
      <w:pPr>
        <w:pStyle w:val="Prrafodelista"/>
        <w:spacing w:after="0"/>
        <w:ind w:left="1080" w:right="-234"/>
        <w:jc w:val="both"/>
        <w:rPr>
          <w:i/>
          <w:sz w:val="24"/>
          <w:szCs w:val="24"/>
        </w:rPr>
      </w:pPr>
    </w:p>
    <w:sectPr w:rsidR="00063425" w:rsidRPr="00102904" w:rsidSect="005836A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0670" w:rsidRDefault="008A0670" w:rsidP="00892BC9">
      <w:pPr>
        <w:spacing w:after="0" w:line="240" w:lineRule="auto"/>
      </w:pPr>
      <w:r>
        <w:separator/>
      </w:r>
    </w:p>
  </w:endnote>
  <w:endnote w:type="continuationSeparator" w:id="0">
    <w:p w:rsidR="008A0670" w:rsidRDefault="008A0670" w:rsidP="00892B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0670" w:rsidRDefault="008A0670" w:rsidP="00892BC9">
      <w:pPr>
        <w:spacing w:after="0" w:line="240" w:lineRule="auto"/>
      </w:pPr>
      <w:r>
        <w:separator/>
      </w:r>
    </w:p>
  </w:footnote>
  <w:footnote w:type="continuationSeparator" w:id="0">
    <w:p w:rsidR="008A0670" w:rsidRDefault="008A0670" w:rsidP="00892BC9">
      <w:pPr>
        <w:spacing w:after="0" w:line="240" w:lineRule="auto"/>
      </w:pPr>
      <w:r>
        <w:continuationSeparator/>
      </w:r>
    </w:p>
  </w:footnote>
  <w:footnote w:id="1">
    <w:p w:rsidR="00892BC9" w:rsidRDefault="00892BC9" w:rsidP="00BB6A56">
      <w:pPr>
        <w:pStyle w:val="Textonotapie"/>
        <w:jc w:val="both"/>
      </w:pPr>
      <w:r>
        <w:rPr>
          <w:rStyle w:val="Refdenotaalpie"/>
        </w:rPr>
        <w:footnoteRef/>
      </w:r>
      <w:r>
        <w:t xml:space="preserve"> Información aportada por el Ministerio de Salud con ocasión del estudio realizado por el Departamento Evaluación de la Ley.</w:t>
      </w:r>
    </w:p>
  </w:footnote>
  <w:footnote w:id="2">
    <w:p w:rsidR="006710F2" w:rsidRDefault="006710F2" w:rsidP="006710F2">
      <w:pPr>
        <w:pStyle w:val="Textonotapie"/>
      </w:pPr>
      <w:r>
        <w:rPr>
          <w:rStyle w:val="Refdenotaalpie"/>
        </w:rPr>
        <w:footnoteRef/>
      </w:r>
      <w:r>
        <w:t xml:space="preserve"> Organización Mundial de la Salud y Centro Federal de Educación para la Salud, 2010.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6A56" w:rsidRDefault="00BB6A56" w:rsidP="00BB6A56">
    <w:pPr>
      <w:pStyle w:val="Encabezado"/>
      <w:jc w:val="center"/>
      <w:rPr>
        <w:noProof/>
        <w:lang w:eastAsia="es-CL"/>
      </w:rPr>
    </w:pPr>
    <w:r w:rsidRPr="00BB6A56">
      <w:rPr>
        <w:noProof/>
        <w:lang w:val="es-ES" w:eastAsia="es-ES"/>
      </w:rPr>
      <w:drawing>
        <wp:inline distT="0" distB="0" distL="0" distR="0">
          <wp:extent cx="495028" cy="490330"/>
          <wp:effectExtent l="0" t="0" r="635" b="5080"/>
          <wp:docPr id="1" name="Imagen 1" descr="C:\Users\mhenriquez\Pictures\Imagen Corporativa ELEY\LOGO CAMARA GRAND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henriquez\Pictures\Imagen Corporativa ELEY\LOGO CAMARA GRAND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919" cy="52290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B6A56" w:rsidRDefault="00BB6A56" w:rsidP="00BB6A56">
    <w:pPr>
      <w:pStyle w:val="Encabezad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60240"/>
    <w:multiLevelType w:val="hybridMultilevel"/>
    <w:tmpl w:val="881C3A48"/>
    <w:lvl w:ilvl="0" w:tplc="EC5E75E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F717B43"/>
    <w:multiLevelType w:val="hybridMultilevel"/>
    <w:tmpl w:val="646E56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AD55AA"/>
    <w:multiLevelType w:val="hybridMultilevel"/>
    <w:tmpl w:val="A18870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F95C80"/>
    <w:multiLevelType w:val="hybridMultilevel"/>
    <w:tmpl w:val="BD5ACA64"/>
    <w:lvl w:ilvl="0" w:tplc="83CEE56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  <w:color w:val="CC330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EE610E5"/>
    <w:multiLevelType w:val="hybridMultilevel"/>
    <w:tmpl w:val="A40CF100"/>
    <w:lvl w:ilvl="0" w:tplc="D6EA87E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433D9E"/>
    <w:multiLevelType w:val="hybridMultilevel"/>
    <w:tmpl w:val="0176565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782C76"/>
    <w:multiLevelType w:val="hybridMultilevel"/>
    <w:tmpl w:val="21066A62"/>
    <w:lvl w:ilvl="0" w:tplc="2C88BA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F43"/>
    <w:rsid w:val="00021458"/>
    <w:rsid w:val="0003411D"/>
    <w:rsid w:val="00050C48"/>
    <w:rsid w:val="00063425"/>
    <w:rsid w:val="00074AB7"/>
    <w:rsid w:val="00102904"/>
    <w:rsid w:val="001129DC"/>
    <w:rsid w:val="00183B09"/>
    <w:rsid w:val="00220D8A"/>
    <w:rsid w:val="002302E1"/>
    <w:rsid w:val="0025497F"/>
    <w:rsid w:val="0026790D"/>
    <w:rsid w:val="002A6A6C"/>
    <w:rsid w:val="002B7755"/>
    <w:rsid w:val="002F6604"/>
    <w:rsid w:val="003D6136"/>
    <w:rsid w:val="004802E9"/>
    <w:rsid w:val="004A049A"/>
    <w:rsid w:val="004D2F70"/>
    <w:rsid w:val="004E35D2"/>
    <w:rsid w:val="004F67B6"/>
    <w:rsid w:val="00530A74"/>
    <w:rsid w:val="005836AD"/>
    <w:rsid w:val="005A6AA5"/>
    <w:rsid w:val="005F1530"/>
    <w:rsid w:val="0060713E"/>
    <w:rsid w:val="00652BFF"/>
    <w:rsid w:val="006710F2"/>
    <w:rsid w:val="00695F43"/>
    <w:rsid w:val="007666AF"/>
    <w:rsid w:val="007B122E"/>
    <w:rsid w:val="007B692C"/>
    <w:rsid w:val="00821AD4"/>
    <w:rsid w:val="00847CF5"/>
    <w:rsid w:val="00892BC9"/>
    <w:rsid w:val="008A0670"/>
    <w:rsid w:val="008F4B9A"/>
    <w:rsid w:val="00925CFE"/>
    <w:rsid w:val="009550A0"/>
    <w:rsid w:val="009E1B6E"/>
    <w:rsid w:val="00BB6A56"/>
    <w:rsid w:val="00BD093F"/>
    <w:rsid w:val="00BF2678"/>
    <w:rsid w:val="00C31198"/>
    <w:rsid w:val="00CD5628"/>
    <w:rsid w:val="00D631E8"/>
    <w:rsid w:val="00D644B4"/>
    <w:rsid w:val="00D70EC7"/>
    <w:rsid w:val="00DF09DB"/>
    <w:rsid w:val="00E54D51"/>
    <w:rsid w:val="00EC3C7C"/>
    <w:rsid w:val="00F96944"/>
    <w:rsid w:val="00FB7821"/>
    <w:rsid w:val="00FC15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6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92BC9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92BC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892BC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892BC9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67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67B6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BB6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B6A56"/>
  </w:style>
  <w:style w:type="paragraph" w:styleId="Piedepgina">
    <w:name w:val="footer"/>
    <w:basedOn w:val="Normal"/>
    <w:link w:val="PiedepginaCar"/>
    <w:uiPriority w:val="99"/>
    <w:unhideWhenUsed/>
    <w:rsid w:val="00BB6A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B6A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A2AD98-336C-4F5C-BB9D-7324E1885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1152</Words>
  <Characters>6340</Characters>
  <Application>Microsoft Office Word</Application>
  <DocSecurity>0</DocSecurity>
  <Lines>52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Abogado Evaluacion de la Ley</dc:creator>
  <cp:lastModifiedBy>Guillermo Diaz Vallejos</cp:lastModifiedBy>
  <cp:revision>2</cp:revision>
  <cp:lastPrinted>2019-04-16T17:35:00Z</cp:lastPrinted>
  <dcterms:created xsi:type="dcterms:W3CDTF">2019-04-25T16:52:00Z</dcterms:created>
  <dcterms:modified xsi:type="dcterms:W3CDTF">2019-04-25T16:52:00Z</dcterms:modified>
</cp:coreProperties>
</file>