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76" w:rsidRPr="00077E5F" w:rsidRDefault="00C54E76" w:rsidP="00C54E76">
      <w:pPr>
        <w:pBdr>
          <w:bottom w:val="single" w:sz="6" w:space="1" w:color="000000"/>
        </w:pBdr>
        <w:spacing w:before="120" w:after="120" w:line="240" w:lineRule="auto"/>
        <w:ind w:left="4253" w:right="23" w:firstLine="0"/>
        <w:jc w:val="both"/>
        <w:rPr>
          <w:rFonts w:ascii="Courier New" w:hAnsi="Courier New" w:cs="Courier New"/>
          <w:sz w:val="24"/>
          <w:szCs w:val="24"/>
        </w:rPr>
      </w:pPr>
      <w:r w:rsidRPr="00077E5F">
        <w:rPr>
          <w:rFonts w:ascii="Courier New" w:eastAsia="Times New Roman" w:hAnsi="Courier New" w:cs="Courier New"/>
          <w:b/>
          <w:sz w:val="24"/>
          <w:szCs w:val="24"/>
          <w:lang w:eastAsia="es-ES"/>
        </w:rPr>
        <w:t xml:space="preserve">MENSAJE DE S.E. EL PRESIDENTE DE LA REPÚBLICA CON EL QUE INICIA UN PROYECTO DE LEY QUE </w:t>
      </w:r>
      <w:r w:rsidR="005F19A4" w:rsidRPr="00077E5F">
        <w:rPr>
          <w:rFonts w:ascii="Courier New" w:eastAsia="Times New Roman" w:hAnsi="Courier New" w:cs="Courier New"/>
          <w:b/>
          <w:sz w:val="24"/>
          <w:szCs w:val="24"/>
          <w:lang w:eastAsia="es-ES"/>
        </w:rPr>
        <w:t>REBAJA LA RENTABILIDAD DE LAS EMPRESAS DE DISTRIBUC</w:t>
      </w:r>
      <w:r w:rsidR="003A1B8A" w:rsidRPr="00077E5F">
        <w:rPr>
          <w:rFonts w:ascii="Courier New" w:eastAsia="Times New Roman" w:hAnsi="Courier New" w:cs="Courier New"/>
          <w:b/>
          <w:sz w:val="24"/>
          <w:szCs w:val="24"/>
          <w:lang w:eastAsia="es-ES"/>
        </w:rPr>
        <w:t>IÓ</w:t>
      </w:r>
      <w:r w:rsidR="005F19A4" w:rsidRPr="00077E5F">
        <w:rPr>
          <w:rFonts w:ascii="Courier New" w:eastAsia="Times New Roman" w:hAnsi="Courier New" w:cs="Courier New"/>
          <w:b/>
          <w:sz w:val="24"/>
          <w:szCs w:val="24"/>
          <w:lang w:eastAsia="es-ES"/>
        </w:rPr>
        <w:t>N Y PERFECCIONA EL PROCESO TARIFARIO</w:t>
      </w:r>
      <w:r w:rsidR="00380E24" w:rsidRPr="00077E5F">
        <w:rPr>
          <w:rFonts w:ascii="Courier New" w:eastAsia="Times New Roman" w:hAnsi="Courier New" w:cs="Courier New"/>
          <w:b/>
          <w:sz w:val="24"/>
          <w:szCs w:val="24"/>
          <w:lang w:eastAsia="es-ES"/>
        </w:rPr>
        <w:t xml:space="preserve"> DE DISTRIBUCIÓN</w:t>
      </w:r>
      <w:r w:rsidR="00213309" w:rsidRPr="00077E5F">
        <w:rPr>
          <w:rFonts w:ascii="Courier New" w:eastAsia="Times New Roman" w:hAnsi="Courier New" w:cs="Courier New"/>
          <w:b/>
          <w:sz w:val="24"/>
          <w:szCs w:val="24"/>
          <w:lang w:eastAsia="es-ES"/>
        </w:rPr>
        <w:t xml:space="preserve"> ELÉCTRICA</w:t>
      </w:r>
      <w:r w:rsidRPr="00077E5F">
        <w:rPr>
          <w:rFonts w:ascii="Courier New" w:eastAsia="Times New Roman" w:hAnsi="Courier New" w:cs="Courier New"/>
          <w:b/>
          <w:sz w:val="24"/>
          <w:szCs w:val="24"/>
          <w:lang w:eastAsia="es-ES"/>
        </w:rPr>
        <w:t>.</w:t>
      </w:r>
    </w:p>
    <w:p w:rsidR="00C54E76" w:rsidRPr="00077E5F" w:rsidRDefault="00C54E76" w:rsidP="00C54E76">
      <w:pPr>
        <w:spacing w:before="120" w:after="120"/>
        <w:ind w:left="4253" w:right="23" w:firstLine="0"/>
        <w:jc w:val="both"/>
        <w:rPr>
          <w:rFonts w:ascii="Courier New" w:hAnsi="Courier New" w:cs="Courier New"/>
          <w:sz w:val="24"/>
          <w:szCs w:val="24"/>
        </w:rPr>
      </w:pPr>
      <w:r w:rsidRPr="00077E5F">
        <w:rPr>
          <w:rFonts w:ascii="Courier New" w:eastAsia="Times New Roman" w:hAnsi="Courier New" w:cs="Courier New"/>
          <w:sz w:val="24"/>
          <w:szCs w:val="24"/>
          <w:lang w:val="pt-BR" w:eastAsia="es-ES"/>
        </w:rPr>
        <w:t>Santiago, 17 de abril de 2019.-</w:t>
      </w:r>
    </w:p>
    <w:p w:rsidR="00C54E76" w:rsidRDefault="00C54E76" w:rsidP="004A23CD">
      <w:pPr>
        <w:tabs>
          <w:tab w:val="left" w:pos="4536"/>
        </w:tabs>
        <w:spacing w:before="120" w:after="120"/>
        <w:ind w:firstLine="0"/>
        <w:jc w:val="both"/>
        <w:rPr>
          <w:rFonts w:ascii="Courier New" w:eastAsia="Times New Roman" w:hAnsi="Courier New" w:cs="Courier New"/>
          <w:b/>
          <w:sz w:val="24"/>
          <w:szCs w:val="24"/>
          <w:lang w:val="pt-BR" w:eastAsia="es-ES"/>
        </w:rPr>
      </w:pPr>
    </w:p>
    <w:p w:rsidR="004A23CD" w:rsidRPr="00077E5F" w:rsidRDefault="004A23CD" w:rsidP="004A23CD">
      <w:pPr>
        <w:tabs>
          <w:tab w:val="left" w:pos="4536"/>
        </w:tabs>
        <w:spacing w:before="120" w:after="120"/>
        <w:ind w:firstLine="0"/>
        <w:jc w:val="both"/>
        <w:rPr>
          <w:rFonts w:ascii="Courier New" w:eastAsia="Times New Roman" w:hAnsi="Courier New" w:cs="Courier New"/>
          <w:b/>
          <w:sz w:val="24"/>
          <w:szCs w:val="24"/>
          <w:lang w:val="pt-BR" w:eastAsia="es-ES"/>
        </w:rPr>
      </w:pPr>
    </w:p>
    <w:p w:rsidR="00C54E76" w:rsidRPr="00077E5F" w:rsidRDefault="00C54E76" w:rsidP="00C54E76">
      <w:pPr>
        <w:tabs>
          <w:tab w:val="left" w:pos="4536"/>
        </w:tabs>
        <w:spacing w:before="120" w:after="120"/>
        <w:jc w:val="both"/>
        <w:outlineLvl w:val="8"/>
        <w:rPr>
          <w:rFonts w:ascii="Courier New" w:eastAsia="Times New Roman" w:hAnsi="Courier New" w:cs="Courier New"/>
          <w:b/>
          <w:sz w:val="24"/>
          <w:szCs w:val="24"/>
          <w:lang w:val="pt-BR" w:eastAsia="es-ES"/>
        </w:rPr>
      </w:pPr>
    </w:p>
    <w:p w:rsidR="00C54E76" w:rsidRPr="00077E5F" w:rsidRDefault="00C54E76" w:rsidP="00C54E76">
      <w:pPr>
        <w:tabs>
          <w:tab w:val="left" w:pos="4536"/>
        </w:tabs>
        <w:spacing w:before="120" w:after="120"/>
        <w:jc w:val="both"/>
        <w:outlineLvl w:val="8"/>
        <w:rPr>
          <w:rFonts w:ascii="Courier New" w:hAnsi="Courier New" w:cs="Courier New"/>
          <w:sz w:val="24"/>
          <w:szCs w:val="24"/>
        </w:rPr>
      </w:pPr>
      <w:r w:rsidRPr="00077E5F">
        <w:rPr>
          <w:rFonts w:ascii="Courier New" w:eastAsia="Times New Roman" w:hAnsi="Courier New" w:cs="Courier New"/>
          <w:b/>
          <w:sz w:val="24"/>
          <w:szCs w:val="24"/>
          <w:lang w:val="pt-BR" w:eastAsia="es-ES"/>
        </w:rPr>
        <w:t xml:space="preserve">M E N S A J E N° </w:t>
      </w:r>
      <w:r w:rsidR="0066271D">
        <w:rPr>
          <w:rFonts w:ascii="Courier New" w:eastAsia="Times New Roman" w:hAnsi="Courier New" w:cs="Courier New"/>
          <w:b/>
          <w:sz w:val="24"/>
          <w:szCs w:val="24"/>
          <w:u w:val="single"/>
          <w:lang w:val="pt-BR" w:eastAsia="es-ES"/>
        </w:rPr>
        <w:t>035</w:t>
      </w:r>
      <w:r w:rsidRPr="00077E5F">
        <w:rPr>
          <w:rFonts w:ascii="Courier New" w:eastAsia="Times New Roman" w:hAnsi="Courier New" w:cs="Courier New"/>
          <w:b/>
          <w:sz w:val="24"/>
          <w:szCs w:val="24"/>
          <w:u w:val="single"/>
          <w:lang w:val="pt-BR" w:eastAsia="es-ES"/>
        </w:rPr>
        <w:t>-</w:t>
      </w:r>
      <w:r w:rsidR="0066271D">
        <w:rPr>
          <w:rFonts w:ascii="Courier New" w:eastAsia="Times New Roman" w:hAnsi="Courier New" w:cs="Courier New"/>
          <w:b/>
          <w:sz w:val="24"/>
          <w:szCs w:val="24"/>
          <w:u w:val="single"/>
          <w:lang w:val="pt-BR" w:eastAsia="es-ES"/>
        </w:rPr>
        <w:t>367</w:t>
      </w:r>
      <w:r w:rsidRPr="00077E5F">
        <w:rPr>
          <w:rFonts w:ascii="Courier New" w:eastAsia="Times New Roman" w:hAnsi="Courier New" w:cs="Courier New"/>
          <w:b/>
          <w:sz w:val="24"/>
          <w:szCs w:val="24"/>
          <w:lang w:val="pt-BR" w:eastAsia="es-ES"/>
        </w:rPr>
        <w:t>/</w:t>
      </w:r>
    </w:p>
    <w:p w:rsidR="00C54E76" w:rsidRPr="00077E5F" w:rsidRDefault="00C54E76" w:rsidP="00C54E76">
      <w:pPr>
        <w:tabs>
          <w:tab w:val="left" w:pos="2268"/>
        </w:tabs>
        <w:spacing w:before="120" w:after="120"/>
        <w:jc w:val="both"/>
        <w:rPr>
          <w:rFonts w:ascii="Courier New" w:eastAsia="Times New Roman" w:hAnsi="Courier New" w:cs="Courier New"/>
          <w:sz w:val="24"/>
          <w:szCs w:val="24"/>
          <w:lang w:val="pt-BR" w:eastAsia="es-ES"/>
        </w:rPr>
      </w:pPr>
    </w:p>
    <w:p w:rsidR="00C54E76" w:rsidRPr="00077E5F" w:rsidRDefault="00C54E76" w:rsidP="00C54E76">
      <w:pPr>
        <w:tabs>
          <w:tab w:val="left" w:pos="2268"/>
        </w:tabs>
        <w:spacing w:before="120" w:after="120"/>
        <w:jc w:val="both"/>
        <w:rPr>
          <w:rFonts w:ascii="Courier New" w:eastAsia="Times New Roman" w:hAnsi="Courier New" w:cs="Courier New"/>
          <w:sz w:val="24"/>
          <w:szCs w:val="24"/>
          <w:lang w:val="pt-BR" w:eastAsia="es-ES"/>
        </w:rPr>
      </w:pPr>
    </w:p>
    <w:p w:rsidR="0044260D" w:rsidRPr="00077E5F" w:rsidRDefault="0066271D" w:rsidP="00B70A1B">
      <w:pPr>
        <w:framePr w:w="2524" w:h="2989" w:hRule="exact" w:wrap="auto" w:vAnchor="text" w:hAnchor="page" w:x="1427" w:y="287"/>
        <w:tabs>
          <w:tab w:val="left" w:pos="-720"/>
        </w:tabs>
        <w:spacing w:after="0" w:line="360" w:lineRule="auto"/>
        <w:ind w:right="-2030" w:firstLine="0"/>
        <w:jc w:val="both"/>
        <w:rPr>
          <w:rFonts w:ascii="Courier New" w:hAnsi="Courier New" w:cs="Courier New"/>
          <w:sz w:val="24"/>
          <w:szCs w:val="24"/>
        </w:rPr>
      </w:pPr>
      <w:r w:rsidRPr="0066271D">
        <w:rPr>
          <w:rFonts w:ascii="Courier New" w:eastAsia="Times New Roman" w:hAnsi="Courier New" w:cs="Courier New"/>
          <w:b/>
          <w:sz w:val="24"/>
          <w:szCs w:val="24"/>
          <w:lang w:val="es-ES_tradnl" w:eastAsia="es-ES"/>
        </w:rPr>
        <w:t xml:space="preserve">A S.E. EL </w:t>
      </w:r>
    </w:p>
    <w:p w:rsidR="0044260D" w:rsidRPr="00077E5F" w:rsidRDefault="0044260D" w:rsidP="00B70A1B">
      <w:pPr>
        <w:framePr w:w="2524" w:h="2989" w:hRule="exact" w:wrap="auto" w:vAnchor="text" w:hAnchor="page" w:x="1427" w:y="287"/>
        <w:tabs>
          <w:tab w:val="left" w:pos="-720"/>
        </w:tabs>
        <w:spacing w:after="0" w:line="360" w:lineRule="auto"/>
        <w:ind w:right="-2030" w:firstLine="0"/>
        <w:jc w:val="both"/>
        <w:rPr>
          <w:rFonts w:ascii="Courier New" w:hAnsi="Courier New" w:cs="Courier New"/>
          <w:sz w:val="24"/>
          <w:szCs w:val="24"/>
        </w:rPr>
      </w:pPr>
      <w:r w:rsidRPr="00B70A1B">
        <w:rPr>
          <w:rFonts w:ascii="Courier New" w:hAnsi="Courier New"/>
          <w:b/>
          <w:sz w:val="24"/>
          <w:lang w:val="es-ES_tradnl"/>
        </w:rPr>
        <w:t>PRESIDENTE</w:t>
      </w:r>
    </w:p>
    <w:p w:rsidR="0066271D" w:rsidRDefault="0044260D" w:rsidP="00224479">
      <w:pPr>
        <w:framePr w:w="2524" w:h="2989" w:hRule="exact" w:wrap="auto" w:vAnchor="text" w:hAnchor="page" w:x="1427" w:y="287"/>
        <w:tabs>
          <w:tab w:val="left" w:pos="-720"/>
        </w:tabs>
        <w:spacing w:after="0" w:line="360" w:lineRule="auto"/>
        <w:ind w:right="-2030" w:firstLine="0"/>
        <w:jc w:val="both"/>
        <w:rPr>
          <w:rFonts w:ascii="Courier New" w:eastAsia="Times New Roman" w:hAnsi="Courier New" w:cs="Courier New"/>
          <w:b/>
          <w:sz w:val="24"/>
          <w:szCs w:val="24"/>
          <w:lang w:val="es-ES_tradnl" w:eastAsia="es-ES"/>
        </w:rPr>
      </w:pPr>
      <w:r w:rsidRPr="00B70A1B">
        <w:rPr>
          <w:rFonts w:ascii="Courier New" w:hAnsi="Courier New"/>
          <w:b/>
          <w:sz w:val="24"/>
          <w:lang w:val="es-ES_tradnl"/>
        </w:rPr>
        <w:t>DE LA H.</w:t>
      </w:r>
    </w:p>
    <w:p w:rsidR="00224479" w:rsidRDefault="0044260D" w:rsidP="00224479">
      <w:pPr>
        <w:framePr w:w="2524" w:h="2989" w:hRule="exact" w:wrap="auto" w:vAnchor="text" w:hAnchor="page" w:x="1427" w:y="287"/>
        <w:tabs>
          <w:tab w:val="left" w:pos="-720"/>
        </w:tabs>
        <w:spacing w:after="0" w:line="360" w:lineRule="auto"/>
        <w:ind w:right="-2030" w:firstLine="0"/>
        <w:jc w:val="both"/>
        <w:rPr>
          <w:rFonts w:ascii="Courier New" w:eastAsia="Times New Roman" w:hAnsi="Courier New" w:cs="Courier New"/>
          <w:b/>
          <w:sz w:val="24"/>
          <w:szCs w:val="24"/>
          <w:lang w:val="es-ES_tradnl" w:eastAsia="es-ES"/>
        </w:rPr>
      </w:pPr>
      <w:r w:rsidRPr="00B70A1B">
        <w:rPr>
          <w:rFonts w:ascii="Courier New" w:hAnsi="Courier New"/>
          <w:b/>
          <w:sz w:val="24"/>
          <w:lang w:val="es-ES_tradnl"/>
        </w:rPr>
        <w:t>CÁMARA DE</w:t>
      </w:r>
      <w:r w:rsidR="00224479">
        <w:rPr>
          <w:rFonts w:ascii="Courier New" w:eastAsia="Times New Roman" w:hAnsi="Courier New" w:cs="Courier New"/>
          <w:b/>
          <w:sz w:val="24"/>
          <w:szCs w:val="24"/>
          <w:lang w:val="es-ES_tradnl" w:eastAsia="es-ES"/>
        </w:rPr>
        <w:t xml:space="preserve"> </w:t>
      </w:r>
    </w:p>
    <w:p w:rsidR="00224479" w:rsidRPr="0066271D" w:rsidRDefault="00224479" w:rsidP="00224479">
      <w:pPr>
        <w:framePr w:w="2524" w:h="2989" w:hRule="exact" w:wrap="auto" w:vAnchor="text" w:hAnchor="page" w:x="1427" w:y="287"/>
        <w:tabs>
          <w:tab w:val="left" w:pos="-720"/>
        </w:tabs>
        <w:spacing w:after="0" w:line="360" w:lineRule="auto"/>
        <w:ind w:right="-2030" w:firstLine="0"/>
        <w:jc w:val="both"/>
        <w:rPr>
          <w:rFonts w:ascii="Courier New" w:hAnsi="Courier New" w:cs="Courier New"/>
          <w:sz w:val="24"/>
          <w:szCs w:val="24"/>
        </w:rPr>
      </w:pPr>
      <w:r>
        <w:rPr>
          <w:rFonts w:ascii="Courier New" w:eastAsia="Times New Roman" w:hAnsi="Courier New" w:cs="Courier New"/>
          <w:b/>
          <w:sz w:val="24"/>
          <w:szCs w:val="24"/>
          <w:lang w:val="es-ES_tradnl" w:eastAsia="es-ES"/>
        </w:rPr>
        <w:t>DIPUTADOS</w:t>
      </w:r>
    </w:p>
    <w:p w:rsidR="00C54E76" w:rsidRPr="00077E5F" w:rsidRDefault="00C54E76" w:rsidP="00B70A1B">
      <w:pPr>
        <w:spacing w:before="120" w:after="360"/>
        <w:ind w:left="2835" w:right="23" w:firstLine="567"/>
        <w:jc w:val="both"/>
        <w:rPr>
          <w:rFonts w:ascii="Courier New" w:eastAsia="Times New Roman" w:hAnsi="Courier New" w:cs="Courier New"/>
          <w:sz w:val="24"/>
          <w:szCs w:val="24"/>
          <w:lang w:val="es-ES_tradnl" w:eastAsia="es-ES"/>
        </w:rPr>
      </w:pPr>
      <w:r w:rsidRPr="00077E5F">
        <w:rPr>
          <w:rFonts w:ascii="Courier New" w:eastAsia="Times New Roman" w:hAnsi="Courier New" w:cs="Courier New"/>
          <w:sz w:val="24"/>
          <w:szCs w:val="24"/>
          <w:lang w:eastAsia="es-ES"/>
        </w:rPr>
        <w:t>Honorable</w:t>
      </w:r>
      <w:r w:rsidRPr="00077E5F">
        <w:rPr>
          <w:rFonts w:ascii="Courier New" w:eastAsia="Times New Roman" w:hAnsi="Courier New" w:cs="Courier New"/>
          <w:sz w:val="24"/>
          <w:szCs w:val="24"/>
          <w:lang w:val="es-ES_tradnl" w:eastAsia="es-ES"/>
        </w:rPr>
        <w:t xml:space="preserve"> Cámara de Diputados:</w:t>
      </w:r>
    </w:p>
    <w:p w:rsidR="00C54E76" w:rsidRPr="00077E5F" w:rsidRDefault="00C54E76" w:rsidP="00B70A1B">
      <w:pPr>
        <w:spacing w:before="120" w:after="360"/>
        <w:ind w:left="2835" w:right="23" w:firstLine="567"/>
        <w:jc w:val="both"/>
        <w:rPr>
          <w:rFonts w:ascii="Courier New" w:hAnsi="Courier New" w:cs="Courier New"/>
          <w:sz w:val="24"/>
          <w:szCs w:val="24"/>
        </w:rPr>
      </w:pPr>
      <w:r w:rsidRPr="00077E5F">
        <w:rPr>
          <w:rFonts w:ascii="Courier New" w:eastAsia="Times New Roman" w:hAnsi="Courier New" w:cs="Courier New"/>
          <w:color w:val="000000"/>
          <w:sz w:val="24"/>
          <w:szCs w:val="24"/>
          <w:lang w:val="es-ES_tradnl" w:eastAsia="es-ES"/>
        </w:rPr>
        <w:t xml:space="preserve">En uso de mis facultades constitucionales, tengo el honor de someter a vuestra consideración un proyecto de ley que modifica la Ley General de Servicios Eléctricos, en adelante e indistintamente “LGSE”, </w:t>
      </w:r>
      <w:r w:rsidR="00F308F2" w:rsidRPr="00077E5F">
        <w:rPr>
          <w:rFonts w:ascii="Courier New" w:eastAsia="Times New Roman" w:hAnsi="Courier New" w:cs="Courier New"/>
          <w:color w:val="000000"/>
          <w:sz w:val="24"/>
          <w:szCs w:val="24"/>
          <w:lang w:val="es-ES_tradnl" w:eastAsia="es-ES"/>
        </w:rPr>
        <w:t>rebajando la rentabilidad de las empresas de distribución y perfeccionando el proceso tarifario de distribución eléctrica</w:t>
      </w:r>
      <w:r w:rsidRPr="00077E5F">
        <w:rPr>
          <w:rFonts w:ascii="Courier New" w:eastAsia="Times New Roman" w:hAnsi="Courier New" w:cs="Courier New"/>
          <w:color w:val="000000"/>
          <w:sz w:val="24"/>
          <w:szCs w:val="24"/>
          <w:lang w:val="es-ES_tradnl" w:eastAsia="es-ES"/>
        </w:rPr>
        <w:t>.</w:t>
      </w:r>
    </w:p>
    <w:p w:rsidR="00C54E76" w:rsidRPr="00077E5F" w:rsidRDefault="00C54E76" w:rsidP="00B70A1B">
      <w:pPr>
        <w:pStyle w:val="Ttulo1"/>
        <w:numPr>
          <w:ilvl w:val="0"/>
          <w:numId w:val="2"/>
        </w:numPr>
        <w:tabs>
          <w:tab w:val="left" w:pos="3544"/>
        </w:tabs>
        <w:ind w:left="2835" w:firstLine="0"/>
        <w:rPr>
          <w:rFonts w:cs="Courier New"/>
          <w:caps w:val="0"/>
          <w:szCs w:val="24"/>
        </w:rPr>
      </w:pPr>
      <w:r w:rsidRPr="00077E5F">
        <w:rPr>
          <w:rFonts w:cs="Courier New"/>
          <w:szCs w:val="24"/>
        </w:rPr>
        <w:t>Antecedentes</w:t>
      </w:r>
    </w:p>
    <w:p w:rsidR="00590897" w:rsidRDefault="0066271D" w:rsidP="00590897">
      <w:pPr>
        <w:tabs>
          <w:tab w:val="left" w:pos="708"/>
          <w:tab w:val="left" w:pos="3544"/>
        </w:tabs>
        <w:spacing w:before="240" w:after="120"/>
        <w:ind w:left="2835" w:firstLine="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44260D" w:rsidRPr="00077E5F">
        <w:rPr>
          <w:rFonts w:ascii="Courier New" w:eastAsia="Times New Roman" w:hAnsi="Courier New" w:cs="Courier New"/>
          <w:spacing w:val="-3"/>
          <w:sz w:val="24"/>
          <w:szCs w:val="24"/>
          <w:lang w:val="es-ES_tradnl" w:eastAsia="es-ES"/>
        </w:rPr>
        <w:t>La institucionalidad y reg</w:t>
      </w:r>
      <w:r w:rsidR="00BA154C" w:rsidRPr="00077E5F">
        <w:rPr>
          <w:rFonts w:ascii="Courier New" w:eastAsia="Times New Roman" w:hAnsi="Courier New" w:cs="Courier New"/>
          <w:spacing w:val="-3"/>
          <w:sz w:val="24"/>
          <w:szCs w:val="24"/>
          <w:lang w:val="es-ES_tradnl" w:eastAsia="es-ES"/>
        </w:rPr>
        <w:t>ulación del sector eléctrico ha</w:t>
      </w:r>
      <w:r w:rsidR="0044260D" w:rsidRPr="00077E5F">
        <w:rPr>
          <w:rFonts w:ascii="Courier New" w:eastAsia="Times New Roman" w:hAnsi="Courier New" w:cs="Courier New"/>
          <w:spacing w:val="-3"/>
          <w:sz w:val="24"/>
          <w:szCs w:val="24"/>
          <w:lang w:val="es-ES_tradnl" w:eastAsia="es-ES"/>
        </w:rPr>
        <w:t xml:space="preserve"> sido </w:t>
      </w:r>
      <w:r w:rsidR="00BA154C" w:rsidRPr="00077E5F">
        <w:rPr>
          <w:rFonts w:ascii="Courier New" w:eastAsia="Times New Roman" w:hAnsi="Courier New" w:cs="Courier New"/>
          <w:spacing w:val="-3"/>
          <w:sz w:val="24"/>
          <w:szCs w:val="24"/>
          <w:lang w:val="es-ES_tradnl" w:eastAsia="es-ES"/>
        </w:rPr>
        <w:t>actualizada</w:t>
      </w:r>
      <w:r w:rsidR="0044260D" w:rsidRPr="00077E5F">
        <w:rPr>
          <w:rFonts w:ascii="Courier New" w:eastAsia="Times New Roman" w:hAnsi="Courier New" w:cs="Courier New"/>
          <w:spacing w:val="-3"/>
          <w:sz w:val="24"/>
          <w:szCs w:val="24"/>
          <w:lang w:val="es-ES_tradnl" w:eastAsia="es-ES"/>
        </w:rPr>
        <w:t xml:space="preserve"> en lo</w:t>
      </w:r>
      <w:r w:rsidR="00F232D0">
        <w:rPr>
          <w:rFonts w:ascii="Courier New" w:eastAsia="Times New Roman" w:hAnsi="Courier New" w:cs="Courier New"/>
          <w:spacing w:val="-3"/>
          <w:sz w:val="24"/>
          <w:szCs w:val="24"/>
          <w:lang w:val="es-ES_tradnl" w:eastAsia="es-ES"/>
        </w:rPr>
        <w:t>s</w:t>
      </w:r>
      <w:r w:rsidR="0044260D" w:rsidRPr="00077E5F">
        <w:rPr>
          <w:rFonts w:ascii="Courier New" w:eastAsia="Times New Roman" w:hAnsi="Courier New" w:cs="Courier New"/>
          <w:spacing w:val="-3"/>
          <w:sz w:val="24"/>
          <w:szCs w:val="24"/>
          <w:lang w:val="es-ES_tradnl" w:eastAsia="es-ES"/>
        </w:rPr>
        <w:t xml:space="preserve"> últimos años mediante el desarrollo de diversos instrumentos normativos que han permitido avances en el sector. Sin perjuicio de ello, ha quedado pendiente la modernización del segmento de distribución, cuya revisión es particularmente relevante considerando que se trata del único segmento que interactúa directamente con la ciudadanía. </w:t>
      </w:r>
    </w:p>
    <w:p w:rsidR="00F262C9" w:rsidRDefault="00590897" w:rsidP="00590897">
      <w:pPr>
        <w:tabs>
          <w:tab w:val="left" w:pos="708"/>
          <w:tab w:val="left" w:pos="3544"/>
        </w:tabs>
        <w:spacing w:before="240" w:after="120"/>
        <w:ind w:left="2835" w:firstLine="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F308F2" w:rsidRPr="00077E5F">
        <w:rPr>
          <w:rFonts w:ascii="Courier New" w:eastAsia="Times New Roman" w:hAnsi="Courier New" w:cs="Courier New"/>
          <w:spacing w:val="-3"/>
          <w:sz w:val="24"/>
          <w:szCs w:val="24"/>
          <w:lang w:val="es-ES_tradnl" w:eastAsia="es-ES"/>
        </w:rPr>
        <w:t xml:space="preserve">Es por lo anterior, y poniendo siempre a las personas en el centro </w:t>
      </w:r>
      <w:r w:rsidR="00F262C9">
        <w:rPr>
          <w:rFonts w:ascii="Courier New" w:eastAsia="Times New Roman" w:hAnsi="Courier New" w:cs="Courier New"/>
          <w:spacing w:val="-3"/>
          <w:sz w:val="24"/>
          <w:szCs w:val="24"/>
          <w:lang w:val="es-ES_tradnl" w:eastAsia="es-ES"/>
        </w:rPr>
        <w:t xml:space="preserve">del diseño </w:t>
      </w:r>
      <w:r w:rsidR="00F308F2" w:rsidRPr="00077E5F">
        <w:rPr>
          <w:rFonts w:ascii="Courier New" w:eastAsia="Times New Roman" w:hAnsi="Courier New" w:cs="Courier New"/>
          <w:spacing w:val="-3"/>
          <w:sz w:val="24"/>
          <w:szCs w:val="24"/>
          <w:lang w:val="es-ES_tradnl" w:eastAsia="es-ES"/>
        </w:rPr>
        <w:t xml:space="preserve">de las políticas públicas, que </w:t>
      </w:r>
      <w:r w:rsidR="004F4987">
        <w:rPr>
          <w:rFonts w:ascii="Courier New" w:eastAsia="Times New Roman" w:hAnsi="Courier New" w:cs="Courier New"/>
          <w:spacing w:val="-3"/>
          <w:sz w:val="24"/>
          <w:szCs w:val="24"/>
          <w:lang w:val="es-ES_tradnl" w:eastAsia="es-ES"/>
        </w:rPr>
        <w:t>nuestro Programa de Gobierno</w:t>
      </w:r>
      <w:r w:rsidR="00F308F2" w:rsidRPr="00077E5F">
        <w:rPr>
          <w:rFonts w:ascii="Courier New" w:eastAsia="Times New Roman" w:hAnsi="Courier New" w:cs="Courier New"/>
          <w:spacing w:val="-3"/>
          <w:sz w:val="24"/>
          <w:szCs w:val="24"/>
          <w:lang w:val="es-ES_tradnl" w:eastAsia="es-ES"/>
        </w:rPr>
        <w:t xml:space="preserve"> dispuso la revisión de la normativa que regula el </w:t>
      </w:r>
      <w:r w:rsidR="00F308F2" w:rsidRPr="00077E5F">
        <w:rPr>
          <w:rFonts w:ascii="Courier New" w:eastAsia="Times New Roman" w:hAnsi="Courier New" w:cs="Courier New"/>
          <w:spacing w:val="-3"/>
          <w:sz w:val="24"/>
          <w:szCs w:val="24"/>
          <w:lang w:val="es-ES_tradnl" w:eastAsia="es-ES"/>
        </w:rPr>
        <w:lastRenderedPageBreak/>
        <w:t>segmento de distribución, con el fin de ejecutar la</w:t>
      </w:r>
      <w:r w:rsidR="00F232D0">
        <w:rPr>
          <w:rFonts w:ascii="Courier New" w:eastAsia="Times New Roman" w:hAnsi="Courier New" w:cs="Courier New"/>
          <w:spacing w:val="-3"/>
          <w:sz w:val="24"/>
          <w:szCs w:val="24"/>
          <w:lang w:val="es-ES_tradnl" w:eastAsia="es-ES"/>
        </w:rPr>
        <w:t>s</w:t>
      </w:r>
      <w:r w:rsidR="00F308F2" w:rsidRPr="00077E5F">
        <w:rPr>
          <w:rFonts w:ascii="Courier New" w:eastAsia="Times New Roman" w:hAnsi="Courier New" w:cs="Courier New"/>
          <w:spacing w:val="-3"/>
          <w:sz w:val="24"/>
          <w:szCs w:val="24"/>
          <w:lang w:val="es-ES_tradnl" w:eastAsia="es-ES"/>
        </w:rPr>
        <w:t xml:space="preserve"> reforma</w:t>
      </w:r>
      <w:r w:rsidR="00F232D0">
        <w:rPr>
          <w:rFonts w:ascii="Courier New" w:eastAsia="Times New Roman" w:hAnsi="Courier New" w:cs="Courier New"/>
          <w:spacing w:val="-3"/>
          <w:sz w:val="24"/>
          <w:szCs w:val="24"/>
          <w:lang w:val="es-ES_tradnl" w:eastAsia="es-ES"/>
        </w:rPr>
        <w:t>s</w:t>
      </w:r>
      <w:r w:rsidR="00F308F2" w:rsidRPr="00077E5F">
        <w:rPr>
          <w:rFonts w:ascii="Courier New" w:eastAsia="Times New Roman" w:hAnsi="Courier New" w:cs="Courier New"/>
          <w:spacing w:val="-3"/>
          <w:sz w:val="24"/>
          <w:szCs w:val="24"/>
          <w:lang w:val="es-ES_tradnl" w:eastAsia="es-ES"/>
        </w:rPr>
        <w:t xml:space="preserve"> necesaria</w:t>
      </w:r>
      <w:r w:rsidR="00F232D0">
        <w:rPr>
          <w:rFonts w:ascii="Courier New" w:eastAsia="Times New Roman" w:hAnsi="Courier New" w:cs="Courier New"/>
          <w:spacing w:val="-3"/>
          <w:sz w:val="24"/>
          <w:szCs w:val="24"/>
          <w:lang w:val="es-ES_tradnl" w:eastAsia="es-ES"/>
        </w:rPr>
        <w:t>s</w:t>
      </w:r>
      <w:r w:rsidR="00F308F2" w:rsidRPr="00077E5F">
        <w:rPr>
          <w:rFonts w:ascii="Courier New" w:eastAsia="Times New Roman" w:hAnsi="Courier New" w:cs="Courier New"/>
          <w:spacing w:val="-3"/>
          <w:sz w:val="24"/>
          <w:szCs w:val="24"/>
          <w:lang w:val="es-ES_tradnl" w:eastAsia="es-ES"/>
        </w:rPr>
        <w:t xml:space="preserve"> para </w:t>
      </w:r>
      <w:r w:rsidR="00F262C9">
        <w:rPr>
          <w:rFonts w:ascii="Courier New" w:eastAsia="Times New Roman" w:hAnsi="Courier New" w:cs="Courier New"/>
          <w:spacing w:val="-3"/>
          <w:sz w:val="24"/>
          <w:szCs w:val="24"/>
          <w:lang w:val="es-ES_tradnl" w:eastAsia="es-ES"/>
        </w:rPr>
        <w:t>su</w:t>
      </w:r>
      <w:r w:rsidR="00F308F2" w:rsidRPr="00077E5F">
        <w:rPr>
          <w:rFonts w:ascii="Courier New" w:eastAsia="Times New Roman" w:hAnsi="Courier New" w:cs="Courier New"/>
          <w:spacing w:val="-3"/>
          <w:sz w:val="24"/>
          <w:szCs w:val="24"/>
          <w:lang w:val="es-ES_tradnl" w:eastAsia="es-ES"/>
        </w:rPr>
        <w:t xml:space="preserve"> modernización.</w:t>
      </w:r>
    </w:p>
    <w:p w:rsidR="00F308F2" w:rsidRPr="00077E5F" w:rsidRDefault="00F262C9"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De esta forma, </w:t>
      </w:r>
      <w:r w:rsidR="00F308F2" w:rsidRPr="00077E5F">
        <w:rPr>
          <w:rFonts w:ascii="Courier New" w:eastAsia="Times New Roman" w:hAnsi="Courier New" w:cs="Courier New"/>
          <w:spacing w:val="-3"/>
          <w:sz w:val="24"/>
          <w:szCs w:val="24"/>
          <w:lang w:val="es-ES_tradnl" w:eastAsia="es-ES"/>
        </w:rPr>
        <w:t xml:space="preserve">la </w:t>
      </w:r>
      <w:r w:rsidR="00860165" w:rsidRPr="00077E5F">
        <w:rPr>
          <w:rFonts w:ascii="Courier New" w:eastAsia="Times New Roman" w:hAnsi="Courier New" w:cs="Courier New"/>
          <w:spacing w:val="-3"/>
          <w:sz w:val="24"/>
          <w:szCs w:val="24"/>
          <w:lang w:val="es-ES_tradnl" w:eastAsia="es-ES"/>
        </w:rPr>
        <w:t>“</w:t>
      </w:r>
      <w:r w:rsidR="00F308F2" w:rsidRPr="00077E5F">
        <w:rPr>
          <w:rFonts w:ascii="Courier New" w:eastAsia="Times New Roman" w:hAnsi="Courier New" w:cs="Courier New"/>
          <w:spacing w:val="-3"/>
          <w:sz w:val="24"/>
          <w:szCs w:val="24"/>
          <w:lang w:val="es-ES_tradnl" w:eastAsia="es-ES"/>
        </w:rPr>
        <w:t>Ruta Energética 2018-2022</w:t>
      </w:r>
      <w:r w:rsidR="00860165" w:rsidRPr="00077E5F">
        <w:rPr>
          <w:rFonts w:ascii="Courier New" w:eastAsia="Times New Roman" w:hAnsi="Courier New" w:cs="Courier New"/>
          <w:spacing w:val="-3"/>
          <w:sz w:val="24"/>
          <w:szCs w:val="24"/>
          <w:lang w:val="es-ES_tradnl" w:eastAsia="es-ES"/>
        </w:rPr>
        <w:t>: Liderando la modernización con sello ciudadano”</w:t>
      </w:r>
      <w:r>
        <w:rPr>
          <w:rFonts w:ascii="Courier New" w:eastAsia="Times New Roman" w:hAnsi="Courier New" w:cs="Courier New"/>
          <w:spacing w:val="-3"/>
          <w:sz w:val="24"/>
          <w:szCs w:val="24"/>
          <w:lang w:val="es-ES_tradnl" w:eastAsia="es-ES"/>
        </w:rPr>
        <w:t xml:space="preserve"> </w:t>
      </w:r>
      <w:r w:rsidR="00F308F2" w:rsidRPr="00077E5F">
        <w:rPr>
          <w:rFonts w:ascii="Courier New" w:eastAsia="Times New Roman" w:hAnsi="Courier New" w:cs="Courier New"/>
          <w:spacing w:val="-3"/>
          <w:sz w:val="24"/>
          <w:szCs w:val="24"/>
          <w:lang w:val="es-ES_tradnl" w:eastAsia="es-ES"/>
        </w:rPr>
        <w:t>incluyó</w:t>
      </w:r>
      <w:r>
        <w:rPr>
          <w:rFonts w:ascii="Courier New" w:eastAsia="Times New Roman" w:hAnsi="Courier New" w:cs="Courier New"/>
          <w:spacing w:val="-3"/>
          <w:sz w:val="24"/>
          <w:szCs w:val="24"/>
          <w:lang w:val="es-ES_tradnl" w:eastAsia="es-ES"/>
        </w:rPr>
        <w:t>,</w:t>
      </w:r>
      <w:r w:rsidR="00F308F2" w:rsidRPr="00077E5F">
        <w:rPr>
          <w:rFonts w:ascii="Courier New" w:eastAsia="Times New Roman" w:hAnsi="Courier New" w:cs="Courier New"/>
          <w:spacing w:val="-3"/>
          <w:sz w:val="24"/>
          <w:szCs w:val="24"/>
          <w:lang w:val="es-ES_tradnl" w:eastAsia="es-ES"/>
        </w:rPr>
        <w:t xml:space="preserve"> </w:t>
      </w:r>
      <w:r>
        <w:rPr>
          <w:rFonts w:ascii="Courier New" w:eastAsia="Times New Roman" w:hAnsi="Courier New" w:cs="Courier New"/>
          <w:spacing w:val="-3"/>
          <w:sz w:val="24"/>
          <w:szCs w:val="24"/>
          <w:lang w:val="es-ES_tradnl" w:eastAsia="es-ES"/>
        </w:rPr>
        <w:t>en mayo de 2018,</w:t>
      </w:r>
      <w:r w:rsidRPr="00077E5F">
        <w:rPr>
          <w:rFonts w:ascii="Courier New" w:eastAsia="Times New Roman" w:hAnsi="Courier New" w:cs="Courier New"/>
          <w:spacing w:val="-3"/>
          <w:sz w:val="24"/>
          <w:szCs w:val="24"/>
          <w:lang w:val="es-ES_tradnl" w:eastAsia="es-ES"/>
        </w:rPr>
        <w:t xml:space="preserve"> </w:t>
      </w:r>
      <w:r w:rsidR="00F308F2" w:rsidRPr="00077E5F">
        <w:rPr>
          <w:rFonts w:ascii="Courier New" w:eastAsia="Times New Roman" w:hAnsi="Courier New" w:cs="Courier New"/>
          <w:spacing w:val="-3"/>
          <w:sz w:val="24"/>
          <w:szCs w:val="24"/>
          <w:lang w:val="es-ES_tradnl" w:eastAsia="es-ES"/>
        </w:rPr>
        <w:t xml:space="preserve">dicho objetivo como uno de </w:t>
      </w:r>
      <w:r>
        <w:rPr>
          <w:rFonts w:ascii="Courier New" w:eastAsia="Times New Roman" w:hAnsi="Courier New" w:cs="Courier New"/>
          <w:spacing w:val="-3"/>
          <w:sz w:val="24"/>
          <w:szCs w:val="24"/>
          <w:lang w:val="es-ES_tradnl" w:eastAsia="es-ES"/>
        </w:rPr>
        <w:t>los</w:t>
      </w:r>
      <w:r w:rsidR="00F308F2" w:rsidRPr="00077E5F">
        <w:rPr>
          <w:rFonts w:ascii="Courier New" w:eastAsia="Times New Roman" w:hAnsi="Courier New" w:cs="Courier New"/>
          <w:spacing w:val="-3"/>
          <w:sz w:val="24"/>
          <w:szCs w:val="24"/>
          <w:lang w:val="es-ES_tradnl" w:eastAsia="es-ES"/>
        </w:rPr>
        <w:t xml:space="preserve"> diez mega compromisos. </w:t>
      </w:r>
    </w:p>
    <w:p w:rsidR="00054E3C" w:rsidRPr="00077E5F" w:rsidRDefault="00F262C9"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En virtud de ello, durante el </w:t>
      </w:r>
      <w:r w:rsidR="00F308F2" w:rsidRPr="00077E5F">
        <w:rPr>
          <w:rFonts w:ascii="Courier New" w:eastAsia="Times New Roman" w:hAnsi="Courier New" w:cs="Courier New"/>
          <w:spacing w:val="-3"/>
          <w:sz w:val="24"/>
          <w:szCs w:val="24"/>
          <w:lang w:val="es-ES_tradnl" w:eastAsia="es-ES"/>
        </w:rPr>
        <w:t xml:space="preserve">marco de lo definido en el </w:t>
      </w:r>
      <w:r w:rsidR="004F4987">
        <w:rPr>
          <w:rFonts w:ascii="Courier New" w:eastAsia="Times New Roman" w:hAnsi="Courier New" w:cs="Courier New"/>
          <w:spacing w:val="-3"/>
          <w:sz w:val="24"/>
          <w:szCs w:val="24"/>
          <w:lang w:val="es-ES_tradnl" w:eastAsia="es-ES"/>
        </w:rPr>
        <w:t>P</w:t>
      </w:r>
      <w:r w:rsidR="00F308F2" w:rsidRPr="00077E5F">
        <w:rPr>
          <w:rFonts w:ascii="Courier New" w:eastAsia="Times New Roman" w:hAnsi="Courier New" w:cs="Courier New"/>
          <w:spacing w:val="-3"/>
          <w:sz w:val="24"/>
          <w:szCs w:val="24"/>
          <w:lang w:val="es-ES_tradnl" w:eastAsia="es-ES"/>
        </w:rPr>
        <w:t xml:space="preserve">rograma de </w:t>
      </w:r>
      <w:r w:rsidR="004F4987">
        <w:rPr>
          <w:rFonts w:ascii="Courier New" w:eastAsia="Times New Roman" w:hAnsi="Courier New" w:cs="Courier New"/>
          <w:spacing w:val="-3"/>
          <w:sz w:val="24"/>
          <w:szCs w:val="24"/>
          <w:lang w:val="es-ES_tradnl" w:eastAsia="es-ES"/>
        </w:rPr>
        <w:t>G</w:t>
      </w:r>
      <w:r w:rsidR="00F308F2" w:rsidRPr="00077E5F">
        <w:rPr>
          <w:rFonts w:ascii="Courier New" w:eastAsia="Times New Roman" w:hAnsi="Courier New" w:cs="Courier New"/>
          <w:spacing w:val="-3"/>
          <w:sz w:val="24"/>
          <w:szCs w:val="24"/>
          <w:lang w:val="es-ES_tradnl" w:eastAsia="es-ES"/>
        </w:rPr>
        <w:t>obierno y en la Ruta Energética 2018-2022,</w:t>
      </w:r>
      <w:r w:rsidR="00175765">
        <w:rPr>
          <w:rFonts w:ascii="Courier New" w:eastAsia="Times New Roman" w:hAnsi="Courier New" w:cs="Courier New"/>
          <w:spacing w:val="-3"/>
          <w:sz w:val="24"/>
          <w:szCs w:val="24"/>
          <w:lang w:val="es-ES_tradnl" w:eastAsia="es-ES"/>
        </w:rPr>
        <w:t xml:space="preserve"> el </w:t>
      </w:r>
      <w:r>
        <w:rPr>
          <w:rFonts w:ascii="Courier New" w:eastAsia="Times New Roman" w:hAnsi="Courier New" w:cs="Courier New"/>
          <w:spacing w:val="-3"/>
          <w:sz w:val="24"/>
          <w:szCs w:val="24"/>
          <w:lang w:val="es-ES_tradnl" w:eastAsia="es-ES"/>
        </w:rPr>
        <w:t>año pasado</w:t>
      </w:r>
      <w:r w:rsidR="00F308F2" w:rsidRPr="00077E5F">
        <w:rPr>
          <w:rFonts w:ascii="Courier New" w:eastAsia="Times New Roman" w:hAnsi="Courier New" w:cs="Courier New"/>
          <w:spacing w:val="-3"/>
          <w:sz w:val="24"/>
          <w:szCs w:val="24"/>
          <w:lang w:val="es-ES_tradnl" w:eastAsia="es-ES"/>
        </w:rPr>
        <w:t xml:space="preserve"> se inició </w:t>
      </w:r>
      <w:r w:rsidR="005A5A6C" w:rsidRPr="00077E5F">
        <w:rPr>
          <w:rFonts w:ascii="Courier New" w:eastAsia="Times New Roman" w:hAnsi="Courier New" w:cs="Courier New"/>
          <w:spacing w:val="-3"/>
          <w:sz w:val="24"/>
          <w:szCs w:val="24"/>
          <w:lang w:val="es-ES_tradnl" w:eastAsia="es-ES"/>
        </w:rPr>
        <w:t xml:space="preserve">un </w:t>
      </w:r>
      <w:r w:rsidR="00F308F2" w:rsidRPr="00077E5F">
        <w:rPr>
          <w:rFonts w:ascii="Courier New" w:eastAsia="Times New Roman" w:hAnsi="Courier New" w:cs="Courier New"/>
          <w:spacing w:val="-3"/>
          <w:sz w:val="24"/>
          <w:szCs w:val="24"/>
          <w:lang w:val="es-ES_tradnl" w:eastAsia="es-ES"/>
        </w:rPr>
        <w:t xml:space="preserve">proceso </w:t>
      </w:r>
      <w:r>
        <w:rPr>
          <w:rFonts w:ascii="Courier New" w:eastAsia="Times New Roman" w:hAnsi="Courier New" w:cs="Courier New"/>
          <w:spacing w:val="-3"/>
          <w:sz w:val="24"/>
          <w:szCs w:val="24"/>
          <w:lang w:val="es-ES_tradnl" w:eastAsia="es-ES"/>
        </w:rPr>
        <w:t>pre</w:t>
      </w:r>
      <w:r w:rsidR="004F4987">
        <w:rPr>
          <w:rFonts w:ascii="Courier New" w:eastAsia="Times New Roman" w:hAnsi="Courier New" w:cs="Courier New"/>
          <w:spacing w:val="-3"/>
          <w:sz w:val="24"/>
          <w:szCs w:val="24"/>
          <w:lang w:val="es-ES_tradnl" w:eastAsia="es-ES"/>
        </w:rPr>
        <w:t>-</w:t>
      </w:r>
      <w:r w:rsidR="00F308F2" w:rsidRPr="00077E5F">
        <w:rPr>
          <w:rFonts w:ascii="Courier New" w:eastAsia="Times New Roman" w:hAnsi="Courier New" w:cs="Courier New"/>
          <w:spacing w:val="-3"/>
          <w:sz w:val="24"/>
          <w:szCs w:val="24"/>
          <w:lang w:val="es-ES_tradnl" w:eastAsia="es-ES"/>
        </w:rPr>
        <w:t xml:space="preserve">legislativo con el fin de </w:t>
      </w:r>
      <w:r w:rsidR="005A5A6C" w:rsidRPr="00077E5F">
        <w:rPr>
          <w:rFonts w:ascii="Courier New" w:eastAsia="Times New Roman" w:hAnsi="Courier New" w:cs="Courier New"/>
          <w:spacing w:val="-3"/>
          <w:sz w:val="24"/>
          <w:szCs w:val="24"/>
          <w:lang w:val="es-ES_tradnl" w:eastAsia="es-ES"/>
        </w:rPr>
        <w:t>implementar</w:t>
      </w:r>
      <w:r w:rsidR="00F308F2" w:rsidRPr="00077E5F">
        <w:rPr>
          <w:rFonts w:ascii="Courier New" w:eastAsia="Times New Roman" w:hAnsi="Courier New" w:cs="Courier New"/>
          <w:spacing w:val="-3"/>
          <w:sz w:val="24"/>
          <w:szCs w:val="24"/>
          <w:lang w:val="es-ES_tradnl" w:eastAsia="es-ES"/>
        </w:rPr>
        <w:t xml:space="preserve"> una </w:t>
      </w:r>
      <w:r w:rsidR="005A5A6C" w:rsidRPr="00077E5F">
        <w:rPr>
          <w:rFonts w:ascii="Courier New" w:eastAsia="Times New Roman" w:hAnsi="Courier New" w:cs="Courier New"/>
          <w:spacing w:val="-3"/>
          <w:sz w:val="24"/>
          <w:szCs w:val="24"/>
          <w:lang w:val="es-ES_tradnl" w:eastAsia="es-ES"/>
        </w:rPr>
        <w:t xml:space="preserve">profunda </w:t>
      </w:r>
      <w:r w:rsidR="00F308F2" w:rsidRPr="00077E5F">
        <w:rPr>
          <w:rFonts w:ascii="Courier New" w:eastAsia="Times New Roman" w:hAnsi="Courier New" w:cs="Courier New"/>
          <w:spacing w:val="-3"/>
          <w:sz w:val="24"/>
          <w:szCs w:val="24"/>
          <w:lang w:val="es-ES_tradnl" w:eastAsia="es-ES"/>
        </w:rPr>
        <w:t xml:space="preserve">reforma del segmento de distribución, que ha incluido un diagnóstico consensuado de la situación actual, la contratación de estudios técnicos de alta complejidad y sofisticación, junto con instancias participativas de </w:t>
      </w:r>
      <w:r>
        <w:rPr>
          <w:rFonts w:ascii="Courier New" w:eastAsia="Times New Roman" w:hAnsi="Courier New" w:cs="Courier New"/>
          <w:spacing w:val="-3"/>
          <w:sz w:val="24"/>
          <w:szCs w:val="24"/>
          <w:lang w:val="es-ES_tradnl" w:eastAsia="es-ES"/>
        </w:rPr>
        <w:t>amplia</w:t>
      </w:r>
      <w:r w:rsidR="00F308F2" w:rsidRPr="00077E5F">
        <w:rPr>
          <w:rFonts w:ascii="Courier New" w:eastAsia="Times New Roman" w:hAnsi="Courier New" w:cs="Courier New"/>
          <w:spacing w:val="-3"/>
          <w:sz w:val="24"/>
          <w:szCs w:val="24"/>
          <w:lang w:val="es-ES_tradnl" w:eastAsia="es-ES"/>
        </w:rPr>
        <w:t xml:space="preserve"> convocatoria, teniendo </w:t>
      </w:r>
      <w:r w:rsidR="0044260D" w:rsidRPr="00077E5F">
        <w:rPr>
          <w:rFonts w:ascii="Courier New" w:eastAsia="Times New Roman" w:hAnsi="Courier New" w:cs="Courier New"/>
          <w:spacing w:val="-3"/>
          <w:sz w:val="24"/>
          <w:szCs w:val="24"/>
          <w:lang w:val="es-ES_tradnl" w:eastAsia="es-ES"/>
        </w:rPr>
        <w:t>la convicción</w:t>
      </w:r>
      <w:r w:rsidR="004F097D">
        <w:rPr>
          <w:rFonts w:ascii="Courier New" w:eastAsia="Times New Roman" w:hAnsi="Courier New" w:cs="Courier New"/>
          <w:spacing w:val="-3"/>
          <w:sz w:val="24"/>
          <w:szCs w:val="24"/>
          <w:lang w:val="es-ES_tradnl" w:eastAsia="es-ES"/>
        </w:rPr>
        <w:t xml:space="preserve"> de</w:t>
      </w:r>
      <w:r w:rsidR="0044260D" w:rsidRPr="00077E5F">
        <w:rPr>
          <w:rFonts w:ascii="Courier New" w:eastAsia="Times New Roman" w:hAnsi="Courier New" w:cs="Courier New"/>
          <w:spacing w:val="-3"/>
          <w:sz w:val="24"/>
          <w:szCs w:val="24"/>
          <w:lang w:val="es-ES_tradnl" w:eastAsia="es-ES"/>
        </w:rPr>
        <w:t xml:space="preserve"> que la modernización de la regulación de la distribución eléctrica debe </w:t>
      </w:r>
      <w:r w:rsidR="00054E3C" w:rsidRPr="00077E5F">
        <w:rPr>
          <w:rFonts w:ascii="Courier New" w:eastAsia="Times New Roman" w:hAnsi="Courier New" w:cs="Courier New"/>
          <w:spacing w:val="-3"/>
          <w:sz w:val="24"/>
          <w:szCs w:val="24"/>
          <w:lang w:val="es-ES_tradnl" w:eastAsia="es-ES"/>
        </w:rPr>
        <w:t xml:space="preserve">considerar las inquietudes </w:t>
      </w:r>
      <w:r w:rsidR="005A5A6C" w:rsidRPr="00077E5F">
        <w:rPr>
          <w:rFonts w:ascii="Courier New" w:eastAsia="Times New Roman" w:hAnsi="Courier New" w:cs="Courier New"/>
          <w:spacing w:val="-3"/>
          <w:sz w:val="24"/>
          <w:szCs w:val="24"/>
          <w:lang w:val="es-ES_tradnl" w:eastAsia="es-ES"/>
        </w:rPr>
        <w:t>ciudadanas</w:t>
      </w:r>
      <w:r w:rsidR="00054E3C" w:rsidRPr="00077E5F">
        <w:rPr>
          <w:rFonts w:ascii="Courier New" w:eastAsia="Times New Roman" w:hAnsi="Courier New" w:cs="Courier New"/>
          <w:spacing w:val="-3"/>
          <w:sz w:val="24"/>
          <w:szCs w:val="24"/>
          <w:lang w:val="es-ES_tradnl" w:eastAsia="es-ES"/>
        </w:rPr>
        <w:t xml:space="preserve">. </w:t>
      </w:r>
    </w:p>
    <w:p w:rsidR="00F667DF" w:rsidRDefault="00F262C9" w:rsidP="0066271D">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Sin perjuicio del proceso pre</w:t>
      </w:r>
      <w:r w:rsidR="004F4987">
        <w:rPr>
          <w:rFonts w:ascii="Courier New" w:eastAsia="Times New Roman" w:hAnsi="Courier New" w:cs="Courier New"/>
          <w:spacing w:val="-3"/>
          <w:sz w:val="24"/>
          <w:szCs w:val="24"/>
          <w:lang w:val="es-ES_tradnl" w:eastAsia="es-ES"/>
        </w:rPr>
        <w:t>-</w:t>
      </w:r>
      <w:r w:rsidR="00077E5F">
        <w:rPr>
          <w:rFonts w:ascii="Courier New" w:eastAsia="Times New Roman" w:hAnsi="Courier New" w:cs="Courier New"/>
          <w:spacing w:val="-3"/>
          <w:sz w:val="24"/>
          <w:szCs w:val="24"/>
          <w:lang w:val="es-ES_tradnl" w:eastAsia="es-ES"/>
        </w:rPr>
        <w:t xml:space="preserve">legislativo en curso, entendemos que la ausencia histórica de una actualización del marco regulatorio que rige actualmente </w:t>
      </w:r>
      <w:r w:rsidR="00077E5F" w:rsidRPr="00A46A6A">
        <w:rPr>
          <w:rFonts w:ascii="Courier New" w:eastAsia="Times New Roman" w:hAnsi="Courier New" w:cs="Courier New"/>
          <w:spacing w:val="-3"/>
          <w:sz w:val="24"/>
          <w:szCs w:val="24"/>
          <w:lang w:val="es-ES_tradnl" w:eastAsia="es-ES"/>
        </w:rPr>
        <w:t>a las empresas que prestan el servicio de distribución eléctrica</w:t>
      </w:r>
      <w:r w:rsidR="00077E5F">
        <w:rPr>
          <w:rFonts w:ascii="Courier New" w:eastAsia="Times New Roman" w:hAnsi="Courier New" w:cs="Courier New"/>
          <w:spacing w:val="-3"/>
          <w:sz w:val="24"/>
          <w:szCs w:val="24"/>
          <w:lang w:val="es-ES_tradnl" w:eastAsia="es-ES"/>
        </w:rPr>
        <w:t xml:space="preserve"> ha llevado a un cuestionamiento ineludible que demanda cambios de manera urgente</w:t>
      </w:r>
      <w:r w:rsidR="004F097D">
        <w:rPr>
          <w:rFonts w:ascii="Courier New" w:eastAsia="Times New Roman" w:hAnsi="Courier New" w:cs="Courier New"/>
          <w:spacing w:val="-3"/>
          <w:sz w:val="24"/>
          <w:szCs w:val="24"/>
          <w:lang w:val="es-ES_tradnl" w:eastAsia="es-ES"/>
        </w:rPr>
        <w:t>;</w:t>
      </w:r>
      <w:r w:rsidR="00077E5F">
        <w:rPr>
          <w:rFonts w:ascii="Courier New" w:eastAsia="Times New Roman" w:hAnsi="Courier New" w:cs="Courier New"/>
          <w:spacing w:val="-3"/>
          <w:sz w:val="24"/>
          <w:szCs w:val="24"/>
          <w:lang w:val="es-ES_tradnl" w:eastAsia="es-ES"/>
        </w:rPr>
        <w:t xml:space="preserve"> por lo que hemos recogido las inquietudes ciudadanas y parlamentarias, teniendo plena convicción respecto a la necesidad de hacer llegar rápidamente la mejor calidad </w:t>
      </w:r>
      <w:r>
        <w:rPr>
          <w:rFonts w:ascii="Courier New" w:eastAsia="Times New Roman" w:hAnsi="Courier New" w:cs="Courier New"/>
          <w:spacing w:val="-3"/>
          <w:sz w:val="24"/>
          <w:szCs w:val="24"/>
          <w:lang w:val="es-ES_tradnl" w:eastAsia="es-ES"/>
        </w:rPr>
        <w:t xml:space="preserve">de servicio, </w:t>
      </w:r>
      <w:r w:rsidR="00077E5F">
        <w:rPr>
          <w:rFonts w:ascii="Courier New" w:eastAsia="Times New Roman" w:hAnsi="Courier New" w:cs="Courier New"/>
          <w:spacing w:val="-3"/>
          <w:sz w:val="24"/>
          <w:szCs w:val="24"/>
          <w:lang w:val="es-ES_tradnl" w:eastAsia="es-ES"/>
        </w:rPr>
        <w:t>con las tarifas más bajas</w:t>
      </w:r>
      <w:r w:rsidR="00F64E6A">
        <w:rPr>
          <w:rFonts w:ascii="Courier New" w:eastAsia="Times New Roman" w:hAnsi="Courier New" w:cs="Courier New"/>
          <w:spacing w:val="-3"/>
          <w:sz w:val="24"/>
          <w:szCs w:val="24"/>
          <w:lang w:val="es-ES_tradnl" w:eastAsia="es-ES"/>
        </w:rPr>
        <w:t xml:space="preserve"> a los clientes</w:t>
      </w:r>
      <w:r w:rsidR="00077E5F">
        <w:rPr>
          <w:rFonts w:ascii="Courier New" w:eastAsia="Times New Roman" w:hAnsi="Courier New" w:cs="Courier New"/>
          <w:spacing w:val="-3"/>
          <w:sz w:val="24"/>
          <w:szCs w:val="24"/>
          <w:lang w:val="es-ES_tradnl" w:eastAsia="es-ES"/>
        </w:rPr>
        <w:t>.</w:t>
      </w:r>
    </w:p>
    <w:p w:rsidR="007E0B7B" w:rsidRDefault="001E5F79" w:rsidP="0066271D">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bookmarkStart w:id="0" w:name="OLE_LINK1"/>
      <w:bookmarkStart w:id="1" w:name="OLE_LINK2"/>
      <w:r>
        <w:rPr>
          <w:rFonts w:ascii="Courier New" w:eastAsia="Times New Roman" w:hAnsi="Courier New" w:cs="Courier New"/>
          <w:spacing w:val="-3"/>
          <w:sz w:val="24"/>
          <w:szCs w:val="24"/>
          <w:lang w:val="es-ES_tradnl" w:eastAsia="es-ES"/>
        </w:rPr>
        <w:t xml:space="preserve">Un ejemplo de ello </w:t>
      </w:r>
      <w:r w:rsidR="007E0B7B">
        <w:rPr>
          <w:rFonts w:ascii="Courier New" w:eastAsia="Times New Roman" w:hAnsi="Courier New" w:cs="Courier New"/>
          <w:spacing w:val="-3"/>
          <w:sz w:val="24"/>
          <w:szCs w:val="24"/>
          <w:lang w:val="es-ES_tradnl" w:eastAsia="es-ES"/>
        </w:rPr>
        <w:t xml:space="preserve">es la moción presentada por los </w:t>
      </w:r>
      <w:r w:rsidR="004F4987">
        <w:rPr>
          <w:rFonts w:ascii="Courier New" w:eastAsia="Times New Roman" w:hAnsi="Courier New" w:cs="Courier New"/>
          <w:spacing w:val="-3"/>
          <w:sz w:val="24"/>
          <w:szCs w:val="24"/>
          <w:lang w:val="es-ES_tradnl" w:eastAsia="es-ES"/>
        </w:rPr>
        <w:t xml:space="preserve">H. </w:t>
      </w:r>
      <w:r w:rsidR="007E0B7B">
        <w:rPr>
          <w:rFonts w:ascii="Courier New" w:eastAsia="Times New Roman" w:hAnsi="Courier New" w:cs="Courier New"/>
          <w:spacing w:val="-3"/>
          <w:sz w:val="24"/>
          <w:szCs w:val="24"/>
          <w:lang w:val="es-ES_tradnl" w:eastAsia="es-ES"/>
        </w:rPr>
        <w:t xml:space="preserve">diputados Pablo Vidal Rojas, Francisco Eguiguren Correa, Ricardo Celis Araya, Sergio Gahona Salazar, </w:t>
      </w:r>
      <w:r w:rsidR="007E0B7B" w:rsidRPr="006B4F08">
        <w:rPr>
          <w:rFonts w:ascii="Courier New" w:eastAsia="Times New Roman" w:hAnsi="Courier New" w:cs="Courier New"/>
          <w:spacing w:val="-3"/>
          <w:sz w:val="24"/>
          <w:szCs w:val="24"/>
          <w:lang w:val="es-ES_tradnl" w:eastAsia="es-ES"/>
        </w:rPr>
        <w:t>Daniela Cicardini</w:t>
      </w:r>
      <w:r w:rsidR="007E0B7B">
        <w:rPr>
          <w:rFonts w:ascii="Courier New" w:eastAsia="Times New Roman" w:hAnsi="Courier New" w:cs="Courier New"/>
          <w:spacing w:val="-3"/>
          <w:sz w:val="24"/>
          <w:szCs w:val="24"/>
          <w:lang w:val="es-ES_tradnl" w:eastAsia="es-ES"/>
        </w:rPr>
        <w:t xml:space="preserve"> Milla, Giorgio Jackson Drago, Alejandra Sepúlveda Orbenes </w:t>
      </w:r>
      <w:r w:rsidR="007E0B7B">
        <w:rPr>
          <w:rFonts w:ascii="Courier New" w:eastAsia="Times New Roman" w:hAnsi="Courier New" w:cs="Courier New"/>
          <w:spacing w:val="-3"/>
          <w:sz w:val="24"/>
          <w:szCs w:val="24"/>
          <w:lang w:val="es-ES_tradnl" w:eastAsia="es-ES"/>
        </w:rPr>
        <w:lastRenderedPageBreak/>
        <w:t xml:space="preserve">y </w:t>
      </w:r>
      <w:r w:rsidR="007E0B7B" w:rsidRPr="006B4F08">
        <w:rPr>
          <w:rFonts w:ascii="Courier New" w:eastAsia="Times New Roman" w:hAnsi="Courier New" w:cs="Courier New"/>
          <w:spacing w:val="-3"/>
          <w:sz w:val="24"/>
          <w:szCs w:val="24"/>
          <w:lang w:val="es-ES_tradnl" w:eastAsia="es-ES"/>
        </w:rPr>
        <w:t>Matías Walker</w:t>
      </w:r>
      <w:r w:rsidR="007E0B7B">
        <w:rPr>
          <w:rFonts w:ascii="Courier New" w:eastAsia="Times New Roman" w:hAnsi="Courier New" w:cs="Courier New"/>
          <w:spacing w:val="-3"/>
          <w:sz w:val="24"/>
          <w:szCs w:val="24"/>
          <w:lang w:val="es-ES_tradnl" w:eastAsia="es-ES"/>
        </w:rPr>
        <w:t xml:space="preserve"> Prieto, que </w:t>
      </w:r>
      <w:r w:rsidR="007E0B7B" w:rsidRPr="007E0B7B">
        <w:rPr>
          <w:rFonts w:ascii="Courier New" w:eastAsia="Times New Roman" w:hAnsi="Courier New" w:cs="Courier New"/>
          <w:spacing w:val="-3"/>
          <w:sz w:val="24"/>
          <w:szCs w:val="24"/>
          <w:lang w:val="es-ES_tradnl" w:eastAsia="es-ES"/>
        </w:rPr>
        <w:t>Modifica la ley General de Servicios Eléctricos, en materia de cálculo del valor agregado por concepto de costos de distribución de la energía</w:t>
      </w:r>
      <w:r w:rsidR="00A112F8">
        <w:rPr>
          <w:rFonts w:ascii="Courier New" w:eastAsia="Times New Roman" w:hAnsi="Courier New" w:cs="Courier New"/>
          <w:spacing w:val="-3"/>
          <w:sz w:val="24"/>
          <w:szCs w:val="24"/>
          <w:lang w:val="es-ES_tradnl" w:eastAsia="es-ES"/>
        </w:rPr>
        <w:t xml:space="preserve"> (boletín 12.471-08)</w:t>
      </w:r>
      <w:r w:rsidR="007E0B7B">
        <w:rPr>
          <w:rFonts w:ascii="Courier New" w:eastAsia="Times New Roman" w:hAnsi="Courier New" w:cs="Courier New"/>
          <w:spacing w:val="-3"/>
          <w:sz w:val="24"/>
          <w:szCs w:val="24"/>
          <w:lang w:val="es-ES_tradnl" w:eastAsia="es-ES"/>
        </w:rPr>
        <w:t>. Dicha iniciativa prop</w:t>
      </w:r>
      <w:r w:rsidR="004F4987">
        <w:rPr>
          <w:rFonts w:ascii="Courier New" w:eastAsia="Times New Roman" w:hAnsi="Courier New" w:cs="Courier New"/>
          <w:spacing w:val="-3"/>
          <w:sz w:val="24"/>
          <w:szCs w:val="24"/>
          <w:lang w:val="es-ES_tradnl" w:eastAsia="es-ES"/>
        </w:rPr>
        <w:t>one</w:t>
      </w:r>
      <w:r w:rsidR="007E0B7B">
        <w:rPr>
          <w:rFonts w:ascii="Courier New" w:eastAsia="Times New Roman" w:hAnsi="Courier New" w:cs="Courier New"/>
          <w:spacing w:val="-3"/>
          <w:sz w:val="24"/>
          <w:szCs w:val="24"/>
          <w:lang w:val="es-ES_tradnl" w:eastAsia="es-ES"/>
        </w:rPr>
        <w:t xml:space="preserve"> </w:t>
      </w:r>
      <w:r w:rsidR="004E46B5">
        <w:rPr>
          <w:rFonts w:ascii="Courier New" w:eastAsia="Times New Roman" w:hAnsi="Courier New" w:cs="Courier New"/>
          <w:spacing w:val="-3"/>
          <w:sz w:val="24"/>
          <w:szCs w:val="24"/>
          <w:lang w:val="es-ES_tradnl" w:eastAsia="es-ES"/>
        </w:rPr>
        <w:t xml:space="preserve">homologar el régimen de tarificación del segmento de distribución con el de otros sectores energéticos, tales como el de transmisión, donde la tasa de </w:t>
      </w:r>
      <w:r w:rsidR="006F15C2">
        <w:rPr>
          <w:rFonts w:ascii="Courier New" w:hAnsi="Courier New" w:cs="Courier New"/>
          <w:sz w:val="24"/>
          <w:szCs w:val="24"/>
          <w:lang w:val="es-ES_tradnl"/>
        </w:rPr>
        <w:t>actualización</w:t>
      </w:r>
      <w:r w:rsidR="006F15C2" w:rsidRPr="00077E5F">
        <w:rPr>
          <w:rFonts w:ascii="Courier New" w:hAnsi="Courier New" w:cs="Courier New"/>
          <w:sz w:val="24"/>
          <w:szCs w:val="24"/>
          <w:lang w:val="es-ES_tradnl"/>
        </w:rPr>
        <w:t xml:space="preserve"> </w:t>
      </w:r>
      <w:r w:rsidR="004E46B5">
        <w:rPr>
          <w:rFonts w:ascii="Courier New" w:eastAsia="Times New Roman" w:hAnsi="Courier New" w:cs="Courier New"/>
          <w:spacing w:val="-3"/>
          <w:sz w:val="24"/>
          <w:szCs w:val="24"/>
          <w:lang w:val="es-ES_tradnl" w:eastAsia="es-ES"/>
        </w:rPr>
        <w:t>es fijada mediante un estudio ad hoc de la Comisión Nacional de Energía</w:t>
      </w:r>
      <w:r w:rsidR="005F36A2">
        <w:rPr>
          <w:rFonts w:ascii="Courier New" w:eastAsia="Times New Roman" w:hAnsi="Courier New" w:cs="Courier New"/>
          <w:spacing w:val="-3"/>
          <w:sz w:val="24"/>
          <w:szCs w:val="24"/>
          <w:lang w:val="es-ES_tradnl" w:eastAsia="es-ES"/>
        </w:rPr>
        <w:t>.</w:t>
      </w:r>
    </w:p>
    <w:bookmarkEnd w:id="0"/>
    <w:bookmarkEnd w:id="1"/>
    <w:p w:rsidR="0044260D" w:rsidRPr="00077E5F" w:rsidRDefault="0044260D"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sidRPr="00077E5F">
        <w:rPr>
          <w:rFonts w:ascii="Courier New" w:eastAsia="Times New Roman" w:hAnsi="Courier New" w:cs="Courier New"/>
          <w:spacing w:val="-3"/>
          <w:sz w:val="24"/>
          <w:szCs w:val="24"/>
          <w:lang w:val="es-ES_tradnl" w:eastAsia="es-ES"/>
        </w:rPr>
        <w:t xml:space="preserve">En virtud de lo anterior, </w:t>
      </w:r>
      <w:r w:rsidR="008B5C1F">
        <w:rPr>
          <w:rFonts w:ascii="Courier New" w:eastAsia="Times New Roman" w:hAnsi="Courier New" w:cs="Courier New"/>
          <w:spacing w:val="-3"/>
          <w:sz w:val="24"/>
          <w:szCs w:val="24"/>
          <w:lang w:val="es-ES_tradnl" w:eastAsia="es-ES"/>
        </w:rPr>
        <w:t>hemos estimado necesario pro</w:t>
      </w:r>
      <w:r w:rsidR="004F4987">
        <w:rPr>
          <w:rFonts w:ascii="Courier New" w:eastAsia="Times New Roman" w:hAnsi="Courier New" w:cs="Courier New"/>
          <w:spacing w:val="-3"/>
          <w:sz w:val="24"/>
          <w:szCs w:val="24"/>
          <w:lang w:val="es-ES_tradnl" w:eastAsia="es-ES"/>
        </w:rPr>
        <w:t>poner un proyecto</w:t>
      </w:r>
      <w:r w:rsidRPr="00077E5F">
        <w:rPr>
          <w:rFonts w:ascii="Courier New" w:eastAsia="Times New Roman" w:hAnsi="Courier New" w:cs="Courier New"/>
          <w:spacing w:val="-3"/>
          <w:sz w:val="24"/>
          <w:szCs w:val="24"/>
          <w:lang w:val="es-ES_tradnl" w:eastAsia="es-ES"/>
        </w:rPr>
        <w:t xml:space="preserve"> de ley que revise la rentabilidad </w:t>
      </w:r>
      <w:r w:rsidR="00A275A6">
        <w:rPr>
          <w:rFonts w:ascii="Courier New" w:eastAsia="Times New Roman" w:hAnsi="Courier New" w:cs="Courier New"/>
          <w:spacing w:val="-3"/>
          <w:sz w:val="24"/>
          <w:szCs w:val="24"/>
          <w:lang w:val="es-ES_tradnl" w:eastAsia="es-ES"/>
        </w:rPr>
        <w:t xml:space="preserve">de las empresas </w:t>
      </w:r>
      <w:r w:rsidRPr="00077E5F">
        <w:rPr>
          <w:rFonts w:ascii="Courier New" w:eastAsia="Times New Roman" w:hAnsi="Courier New" w:cs="Courier New"/>
          <w:spacing w:val="-3"/>
          <w:sz w:val="24"/>
          <w:szCs w:val="24"/>
          <w:lang w:val="es-ES_tradnl" w:eastAsia="es-ES"/>
        </w:rPr>
        <w:t xml:space="preserve">y los </w:t>
      </w:r>
      <w:r w:rsidR="008B5C1F">
        <w:rPr>
          <w:rFonts w:ascii="Courier New" w:eastAsia="Times New Roman" w:hAnsi="Courier New" w:cs="Courier New"/>
          <w:spacing w:val="-3"/>
          <w:sz w:val="24"/>
          <w:szCs w:val="24"/>
          <w:lang w:val="es-ES_tradnl" w:eastAsia="es-ES"/>
        </w:rPr>
        <w:t>procedimientos</w:t>
      </w:r>
      <w:r w:rsidRPr="00077E5F">
        <w:rPr>
          <w:rFonts w:ascii="Courier New" w:eastAsia="Times New Roman" w:hAnsi="Courier New" w:cs="Courier New"/>
          <w:spacing w:val="-3"/>
          <w:sz w:val="24"/>
          <w:szCs w:val="24"/>
          <w:lang w:val="es-ES_tradnl" w:eastAsia="es-ES"/>
        </w:rPr>
        <w:t xml:space="preserve"> de determinación de costos de los prestadores del servicio de distribución eléctrica, que incorpore las modificaciones necesarias a la brevedad posible, con el fin </w:t>
      </w:r>
      <w:r w:rsidR="004F097D">
        <w:rPr>
          <w:rFonts w:ascii="Courier New" w:eastAsia="Times New Roman" w:hAnsi="Courier New" w:cs="Courier New"/>
          <w:spacing w:val="-3"/>
          <w:sz w:val="24"/>
          <w:szCs w:val="24"/>
          <w:lang w:val="es-ES_tradnl" w:eastAsia="es-ES"/>
        </w:rPr>
        <w:t xml:space="preserve">de </w:t>
      </w:r>
      <w:r w:rsidRPr="00077E5F">
        <w:rPr>
          <w:rFonts w:ascii="Courier New" w:eastAsia="Times New Roman" w:hAnsi="Courier New" w:cs="Courier New"/>
          <w:spacing w:val="-3"/>
          <w:sz w:val="24"/>
          <w:szCs w:val="24"/>
          <w:lang w:val="es-ES_tradnl" w:eastAsia="es-ES"/>
        </w:rPr>
        <w:t xml:space="preserve">que sean reflejadas en las tarifas a partir del próximo </w:t>
      </w:r>
      <w:r w:rsidR="00F262C9">
        <w:rPr>
          <w:rFonts w:ascii="Courier New" w:eastAsia="Times New Roman" w:hAnsi="Courier New" w:cs="Courier New"/>
          <w:spacing w:val="-3"/>
          <w:sz w:val="24"/>
          <w:szCs w:val="24"/>
          <w:lang w:val="es-ES_tradnl" w:eastAsia="es-ES"/>
        </w:rPr>
        <w:t>proceso</w:t>
      </w:r>
      <w:r w:rsidRPr="00077E5F">
        <w:rPr>
          <w:rFonts w:ascii="Courier New" w:eastAsia="Times New Roman" w:hAnsi="Courier New" w:cs="Courier New"/>
          <w:spacing w:val="-3"/>
          <w:sz w:val="24"/>
          <w:szCs w:val="24"/>
          <w:lang w:val="es-ES_tradnl" w:eastAsia="es-ES"/>
        </w:rPr>
        <w:t xml:space="preserve"> tarifario.  </w:t>
      </w:r>
    </w:p>
    <w:p w:rsidR="0044260D" w:rsidRPr="00077E5F" w:rsidRDefault="0044260D"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sidRPr="00077E5F">
        <w:rPr>
          <w:rFonts w:ascii="Courier New" w:eastAsia="Times New Roman" w:hAnsi="Courier New" w:cs="Courier New"/>
          <w:spacing w:val="-3"/>
          <w:sz w:val="24"/>
          <w:szCs w:val="24"/>
          <w:lang w:val="es-ES_tradnl" w:eastAsia="es-ES"/>
        </w:rPr>
        <w:t>En efecto, las modificaciones referidas se justifican de manera irrefutable</w:t>
      </w:r>
      <w:r w:rsidR="004F097D">
        <w:rPr>
          <w:rFonts w:ascii="Courier New" w:eastAsia="Times New Roman" w:hAnsi="Courier New" w:cs="Courier New"/>
          <w:spacing w:val="-3"/>
          <w:sz w:val="24"/>
          <w:szCs w:val="24"/>
          <w:lang w:val="es-ES_tradnl" w:eastAsia="es-ES"/>
        </w:rPr>
        <w:t>,</w:t>
      </w:r>
      <w:r w:rsidRPr="00077E5F">
        <w:rPr>
          <w:rFonts w:ascii="Courier New" w:eastAsia="Times New Roman" w:hAnsi="Courier New" w:cs="Courier New"/>
          <w:spacing w:val="-3"/>
          <w:sz w:val="24"/>
          <w:szCs w:val="24"/>
          <w:lang w:val="es-ES_tradnl" w:eastAsia="es-ES"/>
        </w:rPr>
        <w:t xml:space="preserve"> </w:t>
      </w:r>
      <w:r w:rsidR="00CE5862">
        <w:rPr>
          <w:rFonts w:ascii="Courier New" w:eastAsia="Times New Roman" w:hAnsi="Courier New" w:cs="Courier New"/>
          <w:spacing w:val="-3"/>
          <w:sz w:val="24"/>
          <w:szCs w:val="24"/>
          <w:lang w:val="es-ES_tradnl" w:eastAsia="es-ES"/>
        </w:rPr>
        <w:t>considerando la nueva realidad económica y sectorial</w:t>
      </w:r>
      <w:r w:rsidR="004F097D">
        <w:rPr>
          <w:rFonts w:ascii="Courier New" w:eastAsia="Times New Roman" w:hAnsi="Courier New" w:cs="Courier New"/>
          <w:spacing w:val="-3"/>
          <w:sz w:val="24"/>
          <w:szCs w:val="24"/>
          <w:lang w:val="es-ES_tradnl" w:eastAsia="es-ES"/>
        </w:rPr>
        <w:t>,</w:t>
      </w:r>
      <w:r w:rsidR="00CE5862">
        <w:rPr>
          <w:rFonts w:ascii="Courier New" w:eastAsia="Times New Roman" w:hAnsi="Courier New" w:cs="Courier New"/>
          <w:spacing w:val="-3"/>
          <w:sz w:val="24"/>
          <w:szCs w:val="24"/>
          <w:lang w:val="es-ES_tradnl" w:eastAsia="es-ES"/>
        </w:rPr>
        <w:t xml:space="preserve"> que no es la misma bajo la cual fue diseñado el </w:t>
      </w:r>
      <w:r w:rsidRPr="00077E5F">
        <w:rPr>
          <w:rFonts w:ascii="Courier New" w:eastAsia="Times New Roman" w:hAnsi="Courier New" w:cs="Courier New"/>
          <w:spacing w:val="-3"/>
          <w:sz w:val="24"/>
          <w:szCs w:val="24"/>
          <w:lang w:val="es-ES_tradnl" w:eastAsia="es-ES"/>
        </w:rPr>
        <w:t xml:space="preserve">marco </w:t>
      </w:r>
      <w:r w:rsidR="00F262C9">
        <w:rPr>
          <w:rFonts w:ascii="Courier New" w:eastAsia="Times New Roman" w:hAnsi="Courier New" w:cs="Courier New"/>
          <w:spacing w:val="-3"/>
          <w:sz w:val="24"/>
          <w:szCs w:val="24"/>
          <w:lang w:val="es-ES_tradnl" w:eastAsia="es-ES"/>
        </w:rPr>
        <w:t xml:space="preserve">regulatorio </w:t>
      </w:r>
      <w:r w:rsidR="00CE5862">
        <w:rPr>
          <w:rFonts w:ascii="Courier New" w:eastAsia="Times New Roman" w:hAnsi="Courier New" w:cs="Courier New"/>
          <w:spacing w:val="-3"/>
          <w:sz w:val="24"/>
          <w:szCs w:val="24"/>
          <w:lang w:val="es-ES_tradnl" w:eastAsia="es-ES"/>
        </w:rPr>
        <w:t>vigente</w:t>
      </w:r>
      <w:r w:rsidRPr="00077E5F">
        <w:rPr>
          <w:rFonts w:ascii="Courier New" w:eastAsia="Times New Roman" w:hAnsi="Courier New" w:cs="Courier New"/>
          <w:spacing w:val="-3"/>
          <w:sz w:val="24"/>
          <w:szCs w:val="24"/>
          <w:lang w:val="es-ES_tradnl" w:eastAsia="es-ES"/>
        </w:rPr>
        <w:t xml:space="preserve">. </w:t>
      </w:r>
    </w:p>
    <w:p w:rsidR="006D1F25" w:rsidRPr="00077E5F" w:rsidRDefault="0044260D"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sidRPr="00077E5F">
        <w:rPr>
          <w:rFonts w:ascii="Courier New" w:eastAsia="Times New Roman" w:hAnsi="Courier New" w:cs="Courier New"/>
          <w:spacing w:val="-3"/>
          <w:sz w:val="24"/>
          <w:szCs w:val="24"/>
          <w:lang w:val="es-ES_tradnl" w:eastAsia="es-ES"/>
        </w:rPr>
        <w:t xml:space="preserve">Así, hoy la tasa de costo de capital fija de 10% utilizada en el proceso de valorización está desacoplada de la realidad y estabilidad del país. Primero, porque la realidad de las condiciones de acceso a financiamiento difiere significativamente de las condiciones observadas en la década de 1980, cuando se estableció. Segundo, porque el desarrollo tecnológico, la alta penetración y relevancia del servicio eléctrico, y la variación del retorno esperado de mercado, entre otros factores, han disminuido el riesgo y el retorno de las empresas, lo cual no se encuentra reflejado en la tasa fija de la actual regulación. </w:t>
      </w:r>
      <w:r w:rsidR="00B3497B" w:rsidRPr="00077E5F">
        <w:rPr>
          <w:rFonts w:ascii="Courier New" w:eastAsia="Times New Roman" w:hAnsi="Courier New" w:cs="Courier New"/>
          <w:spacing w:val="-3"/>
          <w:sz w:val="24"/>
          <w:szCs w:val="24"/>
          <w:lang w:val="es-ES_tradnl" w:eastAsia="es-ES"/>
        </w:rPr>
        <w:t>Así,</w:t>
      </w:r>
      <w:r w:rsidR="00C57833">
        <w:rPr>
          <w:rFonts w:ascii="Courier New" w:eastAsia="Times New Roman" w:hAnsi="Courier New" w:cs="Courier New"/>
          <w:spacing w:val="-3"/>
          <w:sz w:val="24"/>
          <w:szCs w:val="24"/>
          <w:lang w:val="es-ES_tradnl" w:eastAsia="es-ES"/>
        </w:rPr>
        <w:t xml:space="preserve"> </w:t>
      </w:r>
      <w:r w:rsidR="00B3497B" w:rsidRPr="00077E5F">
        <w:rPr>
          <w:rFonts w:ascii="Courier New" w:eastAsia="Times New Roman" w:hAnsi="Courier New" w:cs="Courier New"/>
          <w:spacing w:val="-3"/>
          <w:sz w:val="24"/>
          <w:szCs w:val="24"/>
          <w:lang w:val="es-ES_tradnl" w:eastAsia="es-ES"/>
        </w:rPr>
        <w:t>h</w:t>
      </w:r>
      <w:r w:rsidR="00163478" w:rsidRPr="006F15C2">
        <w:rPr>
          <w:rFonts w:ascii="Courier New" w:hAnsi="Courier New"/>
          <w:spacing w:val="-3"/>
          <w:sz w:val="24"/>
          <w:lang w:val="es-ES_tradnl"/>
        </w:rPr>
        <w:t xml:space="preserve">oy los modelos tarifarios son </w:t>
      </w:r>
      <w:r w:rsidR="00B3497B" w:rsidRPr="006F15C2">
        <w:rPr>
          <w:rFonts w:ascii="Courier New" w:hAnsi="Courier New"/>
          <w:spacing w:val="-3"/>
          <w:sz w:val="24"/>
          <w:lang w:val="es-ES_tradnl"/>
        </w:rPr>
        <w:t>más</w:t>
      </w:r>
      <w:r w:rsidR="00163478" w:rsidRPr="006F15C2">
        <w:rPr>
          <w:rFonts w:ascii="Courier New" w:hAnsi="Courier New"/>
          <w:spacing w:val="-3"/>
          <w:sz w:val="24"/>
          <w:lang w:val="es-ES_tradnl"/>
        </w:rPr>
        <w:t xml:space="preserve"> sofisticados y </w:t>
      </w:r>
      <w:r w:rsidR="00163478" w:rsidRPr="006F15C2">
        <w:rPr>
          <w:rFonts w:ascii="Courier New" w:hAnsi="Courier New"/>
          <w:spacing w:val="-3"/>
          <w:sz w:val="24"/>
          <w:lang w:val="es-ES_tradnl"/>
        </w:rPr>
        <w:lastRenderedPageBreak/>
        <w:t>calculan una t</w:t>
      </w:r>
      <w:r w:rsidR="00B3497B" w:rsidRPr="006F15C2">
        <w:rPr>
          <w:rFonts w:ascii="Courier New" w:hAnsi="Courier New"/>
          <w:spacing w:val="-3"/>
          <w:sz w:val="24"/>
          <w:lang w:val="es-ES_tradnl"/>
        </w:rPr>
        <w:t xml:space="preserve">asa de costo </w:t>
      </w:r>
      <w:r w:rsidR="00CE5862">
        <w:rPr>
          <w:rFonts w:ascii="Courier New" w:eastAsia="Times New Roman" w:hAnsi="Courier New" w:cs="Courier New"/>
          <w:spacing w:val="-3"/>
          <w:sz w:val="24"/>
          <w:szCs w:val="24"/>
          <w:lang w:eastAsia="es-ES"/>
        </w:rPr>
        <w:t xml:space="preserve">de capital </w:t>
      </w:r>
      <w:r w:rsidR="00B3497B" w:rsidRPr="006F15C2">
        <w:rPr>
          <w:rFonts w:ascii="Courier New" w:hAnsi="Courier New"/>
          <w:spacing w:val="-3"/>
          <w:sz w:val="24"/>
          <w:lang w:val="es-ES_tradnl"/>
        </w:rPr>
        <w:t>y no una tasa fija</w:t>
      </w:r>
      <w:r w:rsidR="00163478" w:rsidRPr="006F15C2">
        <w:rPr>
          <w:rFonts w:ascii="Courier New" w:hAnsi="Courier New"/>
          <w:spacing w:val="-3"/>
          <w:sz w:val="24"/>
          <w:lang w:val="es-ES_tradnl"/>
        </w:rPr>
        <w:t>.</w:t>
      </w:r>
    </w:p>
    <w:p w:rsidR="0044260D" w:rsidRPr="006F15C2" w:rsidRDefault="0044260D" w:rsidP="006F15C2">
      <w:pPr>
        <w:tabs>
          <w:tab w:val="left" w:pos="708"/>
          <w:tab w:val="left" w:pos="3544"/>
        </w:tabs>
        <w:spacing w:before="240" w:after="120"/>
        <w:ind w:left="2835" w:firstLine="709"/>
        <w:jc w:val="both"/>
        <w:rPr>
          <w:rFonts w:ascii="Courier New" w:hAnsi="Courier New"/>
          <w:spacing w:val="-3"/>
          <w:sz w:val="24"/>
          <w:lang w:val="es-ES_tradnl"/>
        </w:rPr>
      </w:pPr>
      <w:r w:rsidRPr="006F15C2">
        <w:rPr>
          <w:rFonts w:ascii="Courier New" w:hAnsi="Courier New"/>
          <w:spacing w:val="-3"/>
          <w:sz w:val="24"/>
          <w:lang w:val="es-ES_tradnl"/>
        </w:rPr>
        <w:t xml:space="preserve">En consecuencia, la revisión de la tasa de costo de capital debe ecualizar adecuadamente las condiciones de mercado, las señales de eficiencia y mínimo costo para el beneficio de los usuarios, </w:t>
      </w:r>
      <w:r w:rsidR="004F4987">
        <w:rPr>
          <w:rFonts w:ascii="Courier New" w:eastAsia="Times New Roman" w:hAnsi="Courier New" w:cs="Courier New"/>
          <w:spacing w:val="-3"/>
          <w:sz w:val="24"/>
          <w:szCs w:val="24"/>
          <w:lang w:val="es-ES_tradnl" w:eastAsia="es-ES"/>
        </w:rPr>
        <w:t xml:space="preserve">así como </w:t>
      </w:r>
      <w:r w:rsidRPr="006F15C2">
        <w:rPr>
          <w:rFonts w:ascii="Courier New" w:hAnsi="Courier New"/>
          <w:spacing w:val="-3"/>
          <w:sz w:val="24"/>
          <w:lang w:val="es-ES_tradnl"/>
        </w:rPr>
        <w:t>una adecuada remuneración y señales de inversión para las empresas que prestan el servicio.</w:t>
      </w:r>
    </w:p>
    <w:p w:rsidR="00B0252D" w:rsidRPr="00077E5F" w:rsidRDefault="0044260D"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sidRPr="00CE5862">
        <w:rPr>
          <w:rFonts w:ascii="Courier New" w:eastAsia="Times New Roman" w:hAnsi="Courier New" w:cs="Courier New"/>
          <w:spacing w:val="-3"/>
          <w:sz w:val="24"/>
          <w:szCs w:val="24"/>
          <w:lang w:val="es-ES_tradnl" w:eastAsia="es-ES"/>
        </w:rPr>
        <w:t>Por otr</w:t>
      </w:r>
      <w:r w:rsidR="00CE5862" w:rsidRPr="00CE5862">
        <w:rPr>
          <w:rFonts w:ascii="Courier New" w:eastAsia="Times New Roman" w:hAnsi="Courier New" w:cs="Courier New"/>
          <w:spacing w:val="-3"/>
          <w:sz w:val="24"/>
          <w:szCs w:val="24"/>
          <w:lang w:val="es-ES_tradnl" w:eastAsia="es-ES"/>
        </w:rPr>
        <w:t>o lado</w:t>
      </w:r>
      <w:r w:rsidRPr="00CE5862">
        <w:rPr>
          <w:rFonts w:ascii="Courier New" w:eastAsia="Times New Roman" w:hAnsi="Courier New" w:cs="Courier New"/>
          <w:spacing w:val="-3"/>
          <w:sz w:val="24"/>
          <w:szCs w:val="24"/>
          <w:lang w:val="es-ES_tradnl" w:eastAsia="es-ES"/>
        </w:rPr>
        <w:t xml:space="preserve">, </w:t>
      </w:r>
      <w:r w:rsidR="00CE5862" w:rsidRPr="00CE5862">
        <w:rPr>
          <w:rFonts w:ascii="Courier New" w:eastAsia="Times New Roman" w:hAnsi="Courier New" w:cs="Courier New"/>
          <w:spacing w:val="-3"/>
          <w:sz w:val="24"/>
          <w:szCs w:val="24"/>
          <w:lang w:val="es-ES_tradnl" w:eastAsia="es-ES"/>
        </w:rPr>
        <w:t>y en relación al proceso tarifario</w:t>
      </w:r>
      <w:r w:rsidR="004F097D">
        <w:rPr>
          <w:rFonts w:ascii="Courier New" w:eastAsia="Times New Roman" w:hAnsi="Courier New" w:cs="Courier New"/>
          <w:spacing w:val="-3"/>
          <w:sz w:val="24"/>
          <w:szCs w:val="24"/>
          <w:lang w:val="es-ES_tradnl" w:eastAsia="es-ES"/>
        </w:rPr>
        <w:t>,</w:t>
      </w:r>
      <w:r w:rsidR="00CE5862" w:rsidRPr="00CE5862">
        <w:rPr>
          <w:rFonts w:ascii="Courier New" w:eastAsia="Times New Roman" w:hAnsi="Courier New" w:cs="Courier New"/>
          <w:spacing w:val="-3"/>
          <w:sz w:val="24"/>
          <w:szCs w:val="24"/>
          <w:lang w:val="es-ES_tradnl" w:eastAsia="es-ES"/>
        </w:rPr>
        <w:t xml:space="preserve"> se considera </w:t>
      </w:r>
      <w:r w:rsidRPr="00CE5862">
        <w:rPr>
          <w:rFonts w:ascii="Courier New" w:eastAsia="Times New Roman" w:hAnsi="Courier New" w:cs="Courier New"/>
          <w:spacing w:val="-3"/>
          <w:sz w:val="24"/>
          <w:szCs w:val="24"/>
          <w:lang w:val="es-ES_tradnl" w:eastAsia="es-ES"/>
        </w:rPr>
        <w:t>la realización de diversos estudios</w:t>
      </w:r>
      <w:r w:rsidR="00CE5862" w:rsidRPr="00CE5862">
        <w:rPr>
          <w:rFonts w:ascii="Courier New" w:eastAsia="Times New Roman" w:hAnsi="Courier New" w:cs="Courier New"/>
          <w:spacing w:val="-3"/>
          <w:sz w:val="24"/>
          <w:szCs w:val="24"/>
          <w:lang w:val="es-ES_tradnl" w:eastAsia="es-ES"/>
        </w:rPr>
        <w:t xml:space="preserve"> de costos por parte</w:t>
      </w:r>
      <w:r w:rsidR="00CE5862">
        <w:rPr>
          <w:rFonts w:ascii="Courier New" w:eastAsia="Times New Roman" w:hAnsi="Courier New" w:cs="Courier New"/>
          <w:spacing w:val="-3"/>
          <w:sz w:val="24"/>
          <w:szCs w:val="24"/>
          <w:lang w:val="es-ES_tradnl" w:eastAsia="es-ES"/>
        </w:rPr>
        <w:t xml:space="preserve"> de la </w:t>
      </w:r>
      <w:r w:rsidR="00CE5862" w:rsidRPr="00077E5F">
        <w:rPr>
          <w:rFonts w:ascii="Courier New" w:eastAsia="Times New Roman" w:hAnsi="Courier New" w:cs="Courier New"/>
          <w:spacing w:val="-3"/>
          <w:sz w:val="24"/>
          <w:szCs w:val="24"/>
          <w:lang w:val="es-ES_tradnl" w:eastAsia="es-ES"/>
        </w:rPr>
        <w:t xml:space="preserve">Comisión Nacional de Energía y </w:t>
      </w:r>
      <w:r w:rsidR="00CE5862">
        <w:rPr>
          <w:rFonts w:ascii="Courier New" w:eastAsia="Times New Roman" w:hAnsi="Courier New" w:cs="Courier New"/>
          <w:spacing w:val="-3"/>
          <w:sz w:val="24"/>
          <w:szCs w:val="24"/>
          <w:lang w:val="es-ES_tradnl" w:eastAsia="es-ES"/>
        </w:rPr>
        <w:t xml:space="preserve">por </w:t>
      </w:r>
      <w:r w:rsidR="00CE5862" w:rsidRPr="00077E5F">
        <w:rPr>
          <w:rFonts w:ascii="Courier New" w:eastAsia="Times New Roman" w:hAnsi="Courier New" w:cs="Courier New"/>
          <w:spacing w:val="-3"/>
          <w:sz w:val="24"/>
          <w:szCs w:val="24"/>
          <w:lang w:val="es-ES_tradnl" w:eastAsia="es-ES"/>
        </w:rPr>
        <w:t xml:space="preserve">las empresas </w:t>
      </w:r>
      <w:r w:rsidR="00CE5862">
        <w:rPr>
          <w:rFonts w:ascii="Courier New" w:eastAsia="Times New Roman" w:hAnsi="Courier New" w:cs="Courier New"/>
          <w:spacing w:val="-3"/>
          <w:sz w:val="24"/>
          <w:szCs w:val="24"/>
          <w:lang w:val="es-ES_tradnl" w:eastAsia="es-ES"/>
        </w:rPr>
        <w:t xml:space="preserve">distribuidoras </w:t>
      </w:r>
      <w:r w:rsidR="00CE5862" w:rsidRPr="00077E5F">
        <w:rPr>
          <w:rFonts w:ascii="Courier New" w:eastAsia="Times New Roman" w:hAnsi="Courier New" w:cs="Courier New"/>
          <w:spacing w:val="-3"/>
          <w:sz w:val="24"/>
          <w:szCs w:val="24"/>
          <w:lang w:val="es-ES_tradnl" w:eastAsia="es-ES"/>
        </w:rPr>
        <w:t>o cooperativas</w:t>
      </w:r>
      <w:r w:rsidR="00CE5862">
        <w:rPr>
          <w:rFonts w:ascii="Courier New" w:eastAsia="Times New Roman" w:hAnsi="Courier New" w:cs="Courier New"/>
          <w:spacing w:val="-3"/>
          <w:sz w:val="24"/>
          <w:szCs w:val="24"/>
          <w:lang w:val="es-ES_tradnl" w:eastAsia="es-ES"/>
        </w:rPr>
        <w:t xml:space="preserve"> eléctricas, </w:t>
      </w:r>
      <w:r w:rsidR="00CE5862" w:rsidRPr="00077E5F">
        <w:rPr>
          <w:rFonts w:ascii="Courier New" w:eastAsia="Times New Roman" w:hAnsi="Courier New" w:cs="Courier New"/>
          <w:spacing w:val="-3"/>
          <w:sz w:val="24"/>
          <w:szCs w:val="24"/>
          <w:lang w:val="es-ES_tradnl" w:eastAsia="es-ES"/>
        </w:rPr>
        <w:t xml:space="preserve">en los que cada </w:t>
      </w:r>
      <w:r w:rsidR="00CE5862">
        <w:rPr>
          <w:rFonts w:ascii="Courier New" w:eastAsia="Times New Roman" w:hAnsi="Courier New" w:cs="Courier New"/>
          <w:spacing w:val="-3"/>
          <w:sz w:val="24"/>
          <w:szCs w:val="24"/>
          <w:lang w:val="es-ES_tradnl" w:eastAsia="es-ES"/>
        </w:rPr>
        <w:t>uno</w:t>
      </w:r>
      <w:r w:rsidR="00CE5862" w:rsidRPr="00077E5F">
        <w:rPr>
          <w:rFonts w:ascii="Courier New" w:eastAsia="Times New Roman" w:hAnsi="Courier New" w:cs="Courier New"/>
          <w:spacing w:val="-3"/>
          <w:sz w:val="24"/>
          <w:szCs w:val="24"/>
          <w:lang w:val="es-ES_tradnl" w:eastAsia="es-ES"/>
        </w:rPr>
        <w:t xml:space="preserve"> desarrolla su estudio de acuerdo a bases técnicas comunes</w:t>
      </w:r>
      <w:r w:rsidR="00CE5862">
        <w:rPr>
          <w:rFonts w:ascii="Courier New" w:eastAsia="Times New Roman" w:hAnsi="Courier New" w:cs="Courier New"/>
          <w:spacing w:val="-3"/>
          <w:sz w:val="24"/>
          <w:szCs w:val="24"/>
          <w:lang w:val="es-ES_tradnl" w:eastAsia="es-ES"/>
        </w:rPr>
        <w:t>.</w:t>
      </w:r>
    </w:p>
    <w:p w:rsidR="00CE5862" w:rsidRDefault="00CE5862" w:rsidP="006F15C2">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Para efectos de resolver las discrepancias entre el regulador y las empresas,</w:t>
      </w:r>
      <w:r w:rsidR="0044260D" w:rsidRPr="00077E5F">
        <w:rPr>
          <w:rFonts w:ascii="Courier New" w:eastAsia="Times New Roman" w:hAnsi="Courier New" w:cs="Courier New"/>
          <w:spacing w:val="-3"/>
          <w:sz w:val="24"/>
          <w:szCs w:val="24"/>
          <w:lang w:val="es-ES_tradnl" w:eastAsia="es-ES"/>
        </w:rPr>
        <w:t xml:space="preserve"> se pondera</w:t>
      </w:r>
      <w:r>
        <w:rPr>
          <w:rFonts w:ascii="Courier New" w:eastAsia="Times New Roman" w:hAnsi="Courier New" w:cs="Courier New"/>
          <w:spacing w:val="-3"/>
          <w:sz w:val="24"/>
          <w:szCs w:val="24"/>
          <w:lang w:val="es-ES_tradnl" w:eastAsia="es-ES"/>
        </w:rPr>
        <w:t xml:space="preserve">n </w:t>
      </w:r>
      <w:r w:rsidR="0044260D" w:rsidRPr="00077E5F">
        <w:rPr>
          <w:rFonts w:ascii="Courier New" w:eastAsia="Times New Roman" w:hAnsi="Courier New" w:cs="Courier New"/>
          <w:spacing w:val="-3"/>
          <w:sz w:val="24"/>
          <w:szCs w:val="24"/>
          <w:lang w:val="es-ES_tradnl" w:eastAsia="es-ES"/>
        </w:rPr>
        <w:t xml:space="preserve">los costos determinados en los estudios realizados por la Comisión Nacional de Energía </w:t>
      </w:r>
      <w:r>
        <w:rPr>
          <w:rFonts w:ascii="Courier New" w:eastAsia="Times New Roman" w:hAnsi="Courier New" w:cs="Courier New"/>
          <w:spacing w:val="-3"/>
          <w:sz w:val="24"/>
          <w:szCs w:val="24"/>
          <w:lang w:val="es-ES_tradnl" w:eastAsia="es-ES"/>
        </w:rPr>
        <w:t xml:space="preserve">en </w:t>
      </w:r>
      <w:r w:rsidR="0044260D" w:rsidRPr="00077E5F">
        <w:rPr>
          <w:rFonts w:ascii="Courier New" w:eastAsia="Times New Roman" w:hAnsi="Courier New" w:cs="Courier New"/>
          <w:spacing w:val="-3"/>
          <w:sz w:val="24"/>
          <w:szCs w:val="24"/>
          <w:lang w:val="es-ES_tradnl" w:eastAsia="es-ES"/>
        </w:rPr>
        <w:t>dos tercios</w:t>
      </w:r>
      <w:r>
        <w:rPr>
          <w:rFonts w:ascii="Courier New" w:eastAsia="Times New Roman" w:hAnsi="Courier New" w:cs="Courier New"/>
          <w:spacing w:val="-3"/>
          <w:sz w:val="24"/>
          <w:szCs w:val="24"/>
          <w:lang w:val="es-ES_tradnl" w:eastAsia="es-ES"/>
        </w:rPr>
        <w:t>,</w:t>
      </w:r>
      <w:r w:rsidR="0044260D" w:rsidRPr="00077E5F">
        <w:rPr>
          <w:rFonts w:ascii="Courier New" w:eastAsia="Times New Roman" w:hAnsi="Courier New" w:cs="Courier New"/>
          <w:spacing w:val="-3"/>
          <w:sz w:val="24"/>
          <w:szCs w:val="24"/>
          <w:lang w:val="es-ES_tradnl" w:eastAsia="es-ES"/>
        </w:rPr>
        <w:t xml:space="preserve"> mientras el tercio restante corresponde a los costos determinados por las empresas. </w:t>
      </w:r>
    </w:p>
    <w:p w:rsidR="0044260D" w:rsidRPr="00077E5F" w:rsidRDefault="0044260D" w:rsidP="00220FA4">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sidRPr="00077E5F">
        <w:rPr>
          <w:rFonts w:ascii="Courier New" w:eastAsia="Times New Roman" w:hAnsi="Courier New" w:cs="Courier New"/>
          <w:spacing w:val="-3"/>
          <w:sz w:val="24"/>
          <w:szCs w:val="24"/>
          <w:lang w:val="es-ES_tradnl" w:eastAsia="es-ES"/>
        </w:rPr>
        <w:t xml:space="preserve">Dicha ponderación genera estructuralmente incentivos divergentes entre el regulador y las empresas, incrementando las asimetrías de información y dificultando la posibilidad de llegar a resultados que reflejen de manera efectiva los costos eficientes del servicio de distribución. </w:t>
      </w:r>
    </w:p>
    <w:p w:rsidR="0044260D" w:rsidRPr="00077E5F" w:rsidRDefault="0044260D" w:rsidP="00220FA4">
      <w:pPr>
        <w:tabs>
          <w:tab w:val="left" w:pos="708"/>
          <w:tab w:val="left" w:pos="3544"/>
        </w:tabs>
        <w:spacing w:before="240" w:after="120"/>
        <w:ind w:left="2835" w:firstLine="709"/>
        <w:jc w:val="both"/>
        <w:rPr>
          <w:rFonts w:ascii="Courier New" w:eastAsia="Times New Roman" w:hAnsi="Courier New" w:cs="Courier New"/>
          <w:spacing w:val="-3"/>
          <w:sz w:val="24"/>
          <w:szCs w:val="24"/>
          <w:lang w:val="es-ES_tradnl" w:eastAsia="es-ES"/>
        </w:rPr>
      </w:pPr>
      <w:r w:rsidRPr="00077E5F">
        <w:rPr>
          <w:rFonts w:ascii="Courier New" w:eastAsia="Times New Roman" w:hAnsi="Courier New" w:cs="Courier New"/>
          <w:spacing w:val="-3"/>
          <w:sz w:val="24"/>
          <w:szCs w:val="24"/>
          <w:lang w:val="es-ES_tradnl" w:eastAsia="es-ES"/>
        </w:rPr>
        <w:t>Finalmente, en relación a la determinación de áreas típicas</w:t>
      </w:r>
      <w:r w:rsidR="00D81BB4">
        <w:rPr>
          <w:rFonts w:ascii="Courier New" w:eastAsia="Times New Roman" w:hAnsi="Courier New" w:cs="Courier New"/>
          <w:spacing w:val="-3"/>
          <w:sz w:val="24"/>
          <w:szCs w:val="24"/>
          <w:lang w:val="es-ES_tradnl" w:eastAsia="es-ES"/>
        </w:rPr>
        <w:t xml:space="preserve"> en los procesos tarifarios</w:t>
      </w:r>
      <w:r w:rsidRPr="00077E5F">
        <w:rPr>
          <w:rFonts w:ascii="Courier New" w:eastAsia="Times New Roman" w:hAnsi="Courier New" w:cs="Courier New"/>
          <w:spacing w:val="-3"/>
          <w:sz w:val="24"/>
          <w:szCs w:val="24"/>
          <w:lang w:val="es-ES_tradnl" w:eastAsia="es-ES"/>
        </w:rPr>
        <w:t xml:space="preserve">, </w:t>
      </w:r>
      <w:r w:rsidR="00D81BB4">
        <w:rPr>
          <w:rFonts w:ascii="Courier New" w:eastAsia="Times New Roman" w:hAnsi="Courier New" w:cs="Courier New"/>
          <w:spacing w:val="-3"/>
          <w:sz w:val="24"/>
          <w:szCs w:val="24"/>
          <w:lang w:val="es-ES_tradnl" w:eastAsia="es-ES"/>
        </w:rPr>
        <w:t xml:space="preserve">cabe señalar que </w:t>
      </w:r>
      <w:r w:rsidRPr="00077E5F">
        <w:rPr>
          <w:rFonts w:ascii="Courier New" w:eastAsia="Times New Roman" w:hAnsi="Courier New" w:cs="Courier New"/>
          <w:spacing w:val="-3"/>
          <w:sz w:val="24"/>
          <w:szCs w:val="24"/>
          <w:lang w:val="es-ES_tradnl" w:eastAsia="es-ES"/>
        </w:rPr>
        <w:t xml:space="preserve">la regulación actual </w:t>
      </w:r>
      <w:r w:rsidR="00D81BB4">
        <w:rPr>
          <w:rFonts w:ascii="Courier New" w:eastAsia="Times New Roman" w:hAnsi="Courier New" w:cs="Courier New"/>
          <w:spacing w:val="-3"/>
          <w:sz w:val="24"/>
          <w:szCs w:val="24"/>
          <w:lang w:val="es-ES_tradnl" w:eastAsia="es-ES"/>
        </w:rPr>
        <w:t xml:space="preserve">establece que </w:t>
      </w:r>
      <w:r w:rsidRPr="00077E5F">
        <w:rPr>
          <w:rFonts w:ascii="Courier New" w:eastAsia="Times New Roman" w:hAnsi="Courier New" w:cs="Courier New"/>
          <w:spacing w:val="-3"/>
          <w:sz w:val="24"/>
          <w:szCs w:val="24"/>
          <w:lang w:val="es-ES_tradnl" w:eastAsia="es-ES"/>
        </w:rPr>
        <w:t xml:space="preserve">se realiza a través de una metodología basada en los costos de distribución. Así, se agrupan empresas donde los costos medios de distribución son parecidos entre sí y se selecciona una empresa de referencia. De </w:t>
      </w:r>
      <w:r w:rsidRPr="00077E5F">
        <w:rPr>
          <w:rFonts w:ascii="Courier New" w:eastAsia="Times New Roman" w:hAnsi="Courier New" w:cs="Courier New"/>
          <w:spacing w:val="-3"/>
          <w:sz w:val="24"/>
          <w:szCs w:val="24"/>
          <w:lang w:val="es-ES_tradnl" w:eastAsia="es-ES"/>
        </w:rPr>
        <w:lastRenderedPageBreak/>
        <w:t>esta forma, l</w:t>
      </w:r>
      <w:r w:rsidRPr="00077E5F">
        <w:rPr>
          <w:rFonts w:ascii="Courier New" w:eastAsia="Times New Roman" w:hAnsi="Courier New" w:cs="Courier New"/>
          <w:spacing w:val="-3"/>
          <w:sz w:val="24"/>
          <w:szCs w:val="24"/>
          <w:lang w:eastAsia="es-ES"/>
        </w:rPr>
        <w:t xml:space="preserve">os criterios para </w:t>
      </w:r>
      <w:r w:rsidR="00D81BB4">
        <w:rPr>
          <w:rFonts w:ascii="Courier New" w:eastAsia="Times New Roman" w:hAnsi="Courier New" w:cs="Courier New"/>
          <w:spacing w:val="-3"/>
          <w:sz w:val="24"/>
          <w:szCs w:val="24"/>
          <w:lang w:eastAsia="es-ES"/>
        </w:rPr>
        <w:t xml:space="preserve">la </w:t>
      </w:r>
      <w:r w:rsidRPr="00077E5F">
        <w:rPr>
          <w:rFonts w:ascii="Courier New" w:eastAsia="Times New Roman" w:hAnsi="Courier New" w:cs="Courier New"/>
          <w:spacing w:val="-3"/>
          <w:sz w:val="24"/>
          <w:szCs w:val="24"/>
          <w:lang w:eastAsia="es-ES"/>
        </w:rPr>
        <w:t xml:space="preserve">asignación de costos están determinados por las zonas de suministro que proveen las empresas, que poseen distintas condiciones geográficas, climatológicas, proporción de clientes rurales y urbanos, y estructura de propiedad, entre otros factores. </w:t>
      </w:r>
    </w:p>
    <w:p w:rsidR="0044260D" w:rsidRPr="006F15C2" w:rsidRDefault="00D81BB4" w:rsidP="00220FA4">
      <w:pPr>
        <w:tabs>
          <w:tab w:val="left" w:pos="708"/>
          <w:tab w:val="left" w:pos="3544"/>
        </w:tabs>
        <w:spacing w:before="240" w:after="120"/>
        <w:ind w:left="2835" w:firstLine="709"/>
        <w:jc w:val="both"/>
        <w:rPr>
          <w:rFonts w:ascii="Courier New" w:hAnsi="Courier New"/>
          <w:spacing w:val="-3"/>
          <w:sz w:val="24"/>
          <w:lang w:val="es-ES_tradnl"/>
        </w:rPr>
      </w:pPr>
      <w:r>
        <w:rPr>
          <w:rFonts w:ascii="Courier New" w:eastAsia="Times New Roman" w:hAnsi="Courier New" w:cs="Courier New"/>
          <w:spacing w:val="-3"/>
          <w:sz w:val="24"/>
          <w:szCs w:val="24"/>
          <w:lang w:eastAsia="es-ES"/>
        </w:rPr>
        <w:t>El</w:t>
      </w:r>
      <w:r w:rsidRPr="00220FA4">
        <w:rPr>
          <w:rFonts w:ascii="Courier New" w:hAnsi="Courier New"/>
          <w:spacing w:val="-3"/>
          <w:sz w:val="24"/>
          <w:lang w:val="es-ES_tradnl"/>
        </w:rPr>
        <w:t xml:space="preserve"> proceso </w:t>
      </w:r>
      <w:r>
        <w:rPr>
          <w:rFonts w:ascii="Courier New" w:eastAsia="Times New Roman" w:hAnsi="Courier New" w:cs="Courier New"/>
          <w:spacing w:val="-3"/>
          <w:sz w:val="24"/>
          <w:szCs w:val="24"/>
          <w:lang w:eastAsia="es-ES"/>
        </w:rPr>
        <w:t>que determina la</w:t>
      </w:r>
      <w:r w:rsidRPr="00220FA4">
        <w:rPr>
          <w:rFonts w:ascii="Courier New" w:hAnsi="Courier New"/>
          <w:spacing w:val="-3"/>
          <w:sz w:val="24"/>
          <w:lang w:val="es-ES_tradnl"/>
        </w:rPr>
        <w:t xml:space="preserve"> empresa eficiente</w:t>
      </w:r>
      <w:r>
        <w:rPr>
          <w:rFonts w:ascii="Courier New" w:eastAsia="Times New Roman" w:hAnsi="Courier New" w:cs="Courier New"/>
          <w:spacing w:val="-3"/>
          <w:sz w:val="24"/>
          <w:szCs w:val="24"/>
          <w:lang w:eastAsia="es-ES"/>
        </w:rPr>
        <w:t xml:space="preserve"> en base a estas áreas típicas</w:t>
      </w:r>
      <w:r w:rsidRPr="00B0252D">
        <w:rPr>
          <w:rFonts w:ascii="Courier New" w:hAnsi="Courier New"/>
          <w:spacing w:val="-3"/>
          <w:sz w:val="24"/>
          <w:lang w:val="es-ES_tradnl"/>
        </w:rPr>
        <w:t xml:space="preserve">, no </w:t>
      </w:r>
      <w:r>
        <w:rPr>
          <w:rFonts w:ascii="Courier New" w:eastAsia="Times New Roman" w:hAnsi="Courier New" w:cs="Courier New"/>
          <w:spacing w:val="-3"/>
          <w:sz w:val="24"/>
          <w:szCs w:val="24"/>
          <w:lang w:eastAsia="es-ES"/>
        </w:rPr>
        <w:t>necesariamente es</w:t>
      </w:r>
      <w:r w:rsidRPr="00B0252D">
        <w:rPr>
          <w:rFonts w:ascii="Courier New" w:hAnsi="Courier New"/>
          <w:spacing w:val="-3"/>
          <w:sz w:val="24"/>
          <w:lang w:val="es-ES_tradnl"/>
        </w:rPr>
        <w:t xml:space="preserve"> </w:t>
      </w:r>
      <w:r w:rsidR="0044260D" w:rsidRPr="00B0252D">
        <w:rPr>
          <w:rFonts w:ascii="Courier New" w:hAnsi="Courier New"/>
          <w:spacing w:val="-3"/>
          <w:sz w:val="24"/>
          <w:lang w:val="es-ES_tradnl"/>
        </w:rPr>
        <w:t>representativ</w:t>
      </w:r>
      <w:r w:rsidR="006F15C2">
        <w:rPr>
          <w:rFonts w:ascii="Courier New" w:hAnsi="Courier New"/>
          <w:spacing w:val="-3"/>
          <w:sz w:val="24"/>
          <w:lang w:val="es-ES_tradnl"/>
        </w:rPr>
        <w:t>o</w:t>
      </w:r>
      <w:r w:rsidR="0044260D" w:rsidRPr="00B0252D">
        <w:rPr>
          <w:rFonts w:ascii="Courier New" w:hAnsi="Courier New"/>
          <w:spacing w:val="-3"/>
          <w:sz w:val="24"/>
          <w:lang w:val="es-ES_tradnl"/>
        </w:rPr>
        <w:t xml:space="preserve"> de las empresas eficientes que resultarían de un análisis similar sobre las demás empresas</w:t>
      </w:r>
      <w:r>
        <w:rPr>
          <w:rFonts w:ascii="Courier New" w:eastAsia="Times New Roman" w:hAnsi="Courier New" w:cs="Courier New"/>
          <w:spacing w:val="-3"/>
          <w:sz w:val="24"/>
          <w:szCs w:val="24"/>
          <w:lang w:eastAsia="es-ES"/>
        </w:rPr>
        <w:t>, distintas de la empresa de referencia,</w:t>
      </w:r>
      <w:r w:rsidR="0044260D" w:rsidRPr="00B0252D">
        <w:rPr>
          <w:rFonts w:ascii="Courier New" w:hAnsi="Courier New"/>
          <w:spacing w:val="-3"/>
          <w:sz w:val="24"/>
          <w:lang w:val="es-ES_tradnl"/>
        </w:rPr>
        <w:t xml:space="preserve"> pertenecientes </w:t>
      </w:r>
      <w:r w:rsidR="0044260D" w:rsidRPr="00077E5F">
        <w:rPr>
          <w:rFonts w:ascii="Courier New" w:eastAsia="Times New Roman" w:hAnsi="Courier New" w:cs="Courier New"/>
          <w:spacing w:val="-3"/>
          <w:sz w:val="24"/>
          <w:szCs w:val="24"/>
          <w:lang w:eastAsia="es-ES"/>
        </w:rPr>
        <w:t>a</w:t>
      </w:r>
      <w:r>
        <w:rPr>
          <w:rFonts w:ascii="Courier New" w:eastAsia="Times New Roman" w:hAnsi="Courier New" w:cs="Courier New"/>
          <w:spacing w:val="-3"/>
          <w:sz w:val="24"/>
          <w:szCs w:val="24"/>
          <w:lang w:eastAsia="es-ES"/>
        </w:rPr>
        <w:t xml:space="preserve"> </w:t>
      </w:r>
      <w:r w:rsidR="0044260D" w:rsidRPr="00077E5F">
        <w:rPr>
          <w:rFonts w:ascii="Courier New" w:eastAsia="Times New Roman" w:hAnsi="Courier New" w:cs="Courier New"/>
          <w:spacing w:val="-3"/>
          <w:sz w:val="24"/>
          <w:szCs w:val="24"/>
          <w:lang w:eastAsia="es-ES"/>
        </w:rPr>
        <w:t>l</w:t>
      </w:r>
      <w:r>
        <w:rPr>
          <w:rFonts w:ascii="Courier New" w:eastAsia="Times New Roman" w:hAnsi="Courier New" w:cs="Courier New"/>
          <w:spacing w:val="-3"/>
          <w:sz w:val="24"/>
          <w:szCs w:val="24"/>
          <w:lang w:eastAsia="es-ES"/>
        </w:rPr>
        <w:t>a misma</w:t>
      </w:r>
      <w:r w:rsidR="0044260D" w:rsidRPr="00B0252D">
        <w:rPr>
          <w:rFonts w:ascii="Courier New" w:hAnsi="Courier New"/>
          <w:spacing w:val="-3"/>
          <w:sz w:val="24"/>
          <w:lang w:val="es-ES_tradnl"/>
        </w:rPr>
        <w:t xml:space="preserve"> área típica</w:t>
      </w:r>
      <w:r w:rsidR="0044260D" w:rsidRPr="006F15C2">
        <w:rPr>
          <w:rFonts w:ascii="Courier New" w:hAnsi="Courier New"/>
          <w:spacing w:val="-3"/>
          <w:sz w:val="24"/>
          <w:lang w:val="es-ES_tradnl"/>
        </w:rPr>
        <w:t xml:space="preserve">. </w:t>
      </w:r>
    </w:p>
    <w:p w:rsidR="0044260D" w:rsidRPr="00077E5F" w:rsidRDefault="0044260D" w:rsidP="00220FA4">
      <w:pPr>
        <w:tabs>
          <w:tab w:val="left" w:pos="708"/>
          <w:tab w:val="left" w:pos="3544"/>
        </w:tabs>
        <w:spacing w:before="240" w:after="120"/>
        <w:ind w:left="2835" w:firstLine="709"/>
        <w:jc w:val="both"/>
        <w:rPr>
          <w:rFonts w:ascii="Courier New" w:eastAsia="Times New Roman" w:hAnsi="Courier New" w:cs="Courier New"/>
          <w:spacing w:val="-3"/>
          <w:sz w:val="24"/>
          <w:szCs w:val="24"/>
          <w:lang w:eastAsia="es-ES"/>
        </w:rPr>
      </w:pPr>
      <w:r w:rsidRPr="006F15C2">
        <w:rPr>
          <w:rFonts w:ascii="Courier New" w:hAnsi="Courier New"/>
          <w:spacing w:val="-3"/>
          <w:sz w:val="24"/>
          <w:lang w:val="es-ES_tradnl"/>
        </w:rPr>
        <w:t>Lo anterior se debe a que el proceso no diferencia</w:t>
      </w:r>
      <w:r w:rsidRPr="00077E5F">
        <w:rPr>
          <w:rFonts w:ascii="Courier New" w:eastAsia="Times New Roman" w:hAnsi="Courier New" w:cs="Courier New"/>
          <w:spacing w:val="-3"/>
          <w:sz w:val="24"/>
          <w:szCs w:val="24"/>
          <w:lang w:eastAsia="es-ES"/>
        </w:rPr>
        <w:t xml:space="preserve"> adecuadamente la diversidad de realidades nacionales, de negocios, ni de sus clientes, estableciendo tarifas similares a empresas que enfrentan realidades distintas o atienden sectores de negocios o de población no necesariamente comparables. En razón de lo anterior, se hace necesario </w:t>
      </w:r>
      <w:r w:rsidR="0039116A">
        <w:rPr>
          <w:rFonts w:ascii="Courier New" w:eastAsia="Times New Roman" w:hAnsi="Courier New" w:cs="Courier New"/>
          <w:spacing w:val="-3"/>
          <w:sz w:val="24"/>
          <w:szCs w:val="24"/>
          <w:lang w:eastAsia="es-ES"/>
        </w:rPr>
        <w:t>mejorar la definición</w:t>
      </w:r>
      <w:r w:rsidRPr="00077E5F">
        <w:rPr>
          <w:rFonts w:ascii="Courier New" w:eastAsia="Times New Roman" w:hAnsi="Courier New" w:cs="Courier New"/>
          <w:spacing w:val="-3"/>
          <w:sz w:val="24"/>
          <w:szCs w:val="24"/>
          <w:lang w:eastAsia="es-ES"/>
        </w:rPr>
        <w:t xml:space="preserve"> de </w:t>
      </w:r>
      <w:r w:rsidR="0039116A">
        <w:rPr>
          <w:rFonts w:ascii="Courier New" w:eastAsia="Times New Roman" w:hAnsi="Courier New" w:cs="Courier New"/>
          <w:spacing w:val="-3"/>
          <w:sz w:val="24"/>
          <w:szCs w:val="24"/>
          <w:lang w:eastAsia="es-ES"/>
        </w:rPr>
        <w:t xml:space="preserve">las </w:t>
      </w:r>
      <w:r w:rsidRPr="00077E5F">
        <w:rPr>
          <w:rFonts w:ascii="Courier New" w:eastAsia="Times New Roman" w:hAnsi="Courier New" w:cs="Courier New"/>
          <w:spacing w:val="-3"/>
          <w:sz w:val="24"/>
          <w:szCs w:val="24"/>
          <w:lang w:eastAsia="es-ES"/>
        </w:rPr>
        <w:t>áreas típicas</w:t>
      </w:r>
      <w:r w:rsidR="0039116A">
        <w:rPr>
          <w:rFonts w:ascii="Courier New" w:eastAsia="Times New Roman" w:hAnsi="Courier New" w:cs="Courier New"/>
          <w:spacing w:val="-3"/>
          <w:sz w:val="24"/>
          <w:szCs w:val="24"/>
          <w:lang w:eastAsia="es-ES"/>
        </w:rPr>
        <w:t>,</w:t>
      </w:r>
      <w:r w:rsidRPr="00077E5F">
        <w:rPr>
          <w:rFonts w:ascii="Courier New" w:eastAsia="Times New Roman" w:hAnsi="Courier New" w:cs="Courier New"/>
          <w:spacing w:val="-3"/>
          <w:sz w:val="24"/>
          <w:szCs w:val="24"/>
          <w:lang w:eastAsia="es-ES"/>
        </w:rPr>
        <w:t xml:space="preserve"> de manera tal que se reflejen adecuadamente las condiciones particulares de cada empresa. </w:t>
      </w:r>
    </w:p>
    <w:p w:rsidR="0044260D" w:rsidRPr="00077E5F" w:rsidRDefault="0044260D" w:rsidP="00220FA4">
      <w:pPr>
        <w:pStyle w:val="Ttulo1"/>
        <w:numPr>
          <w:ilvl w:val="0"/>
          <w:numId w:val="2"/>
        </w:numPr>
        <w:ind w:left="2835" w:firstLine="0"/>
        <w:rPr>
          <w:rFonts w:cs="Courier New"/>
          <w:szCs w:val="24"/>
        </w:rPr>
      </w:pPr>
      <w:r w:rsidRPr="00077E5F">
        <w:rPr>
          <w:rFonts w:cs="Courier New"/>
          <w:szCs w:val="24"/>
        </w:rPr>
        <w:t>OBJETIVO</w:t>
      </w:r>
      <w:r w:rsidR="005A4080" w:rsidRPr="00077E5F">
        <w:rPr>
          <w:rFonts w:cs="Courier New"/>
          <w:szCs w:val="24"/>
        </w:rPr>
        <w:t xml:space="preserve"> </w:t>
      </w:r>
      <w:r w:rsidR="004F4987">
        <w:rPr>
          <w:rFonts w:cs="Courier New"/>
          <w:szCs w:val="24"/>
        </w:rPr>
        <w:t>DEL PROYECTO DE LEY</w:t>
      </w:r>
    </w:p>
    <w:p w:rsidR="00A049DA" w:rsidRPr="00077E5F" w:rsidRDefault="00B51B4A" w:rsidP="00220FA4">
      <w:pPr>
        <w:tabs>
          <w:tab w:val="left" w:pos="708"/>
          <w:tab w:val="left" w:pos="3544"/>
        </w:tabs>
        <w:spacing w:before="240" w:after="120"/>
        <w:ind w:left="2835" w:firstLine="709"/>
        <w:jc w:val="both"/>
        <w:rPr>
          <w:rFonts w:ascii="Courier New" w:eastAsia="Times New Roman" w:hAnsi="Courier New" w:cs="Courier New"/>
          <w:sz w:val="24"/>
          <w:szCs w:val="24"/>
          <w:lang w:val="es-ES_tradnl" w:eastAsia="es-ES"/>
        </w:rPr>
      </w:pPr>
      <w:r w:rsidRPr="00220FA4">
        <w:rPr>
          <w:rFonts w:ascii="Courier New" w:hAnsi="Courier New"/>
          <w:spacing w:val="-3"/>
          <w:sz w:val="24"/>
          <w:lang w:val="es-ES_tradnl"/>
        </w:rPr>
        <w:t>El</w:t>
      </w:r>
      <w:r w:rsidRPr="00077E5F">
        <w:rPr>
          <w:rFonts w:ascii="Courier New" w:eastAsia="Times New Roman" w:hAnsi="Courier New" w:cs="Courier New"/>
          <w:sz w:val="24"/>
          <w:szCs w:val="24"/>
          <w:lang w:val="es-ES_tradnl" w:eastAsia="es-ES"/>
        </w:rPr>
        <w:t xml:space="preserve"> objetivo de este proyecto de ley es entregar un mejor servicio eléctrico en todo el país, que sea reflejado correcta</w:t>
      </w:r>
      <w:r w:rsidR="00D81BB4">
        <w:rPr>
          <w:rFonts w:ascii="Courier New" w:eastAsia="Times New Roman" w:hAnsi="Courier New" w:cs="Courier New"/>
          <w:sz w:val="24"/>
          <w:szCs w:val="24"/>
          <w:lang w:val="es-ES_tradnl" w:eastAsia="es-ES"/>
        </w:rPr>
        <w:t xml:space="preserve"> y eficiente</w:t>
      </w:r>
      <w:r w:rsidRPr="00077E5F">
        <w:rPr>
          <w:rFonts w:ascii="Courier New" w:eastAsia="Times New Roman" w:hAnsi="Courier New" w:cs="Courier New"/>
          <w:sz w:val="24"/>
          <w:szCs w:val="24"/>
          <w:lang w:val="es-ES_tradnl" w:eastAsia="es-ES"/>
        </w:rPr>
        <w:t>mente en las tarifas establecidas en la regulación sectorial</w:t>
      </w:r>
      <w:r w:rsidR="004F4987">
        <w:rPr>
          <w:rFonts w:ascii="Courier New" w:eastAsia="Times New Roman" w:hAnsi="Courier New" w:cs="Courier New"/>
          <w:sz w:val="24"/>
          <w:szCs w:val="24"/>
          <w:lang w:val="es-ES_tradnl" w:eastAsia="es-ES"/>
        </w:rPr>
        <w:t>, a través de:</w:t>
      </w:r>
      <w:r w:rsidRPr="00077E5F">
        <w:rPr>
          <w:rFonts w:ascii="Courier New" w:eastAsia="Times New Roman" w:hAnsi="Courier New" w:cs="Courier New"/>
          <w:sz w:val="24"/>
          <w:szCs w:val="24"/>
          <w:lang w:val="es-ES_tradnl" w:eastAsia="es-ES"/>
        </w:rPr>
        <w:t xml:space="preserve"> </w:t>
      </w:r>
    </w:p>
    <w:p w:rsidR="00307C00" w:rsidRPr="00307C00" w:rsidRDefault="004F4987" w:rsidP="00220FA4">
      <w:pPr>
        <w:pStyle w:val="Prrafodelista"/>
        <w:numPr>
          <w:ilvl w:val="0"/>
          <w:numId w:val="6"/>
        </w:numPr>
        <w:tabs>
          <w:tab w:val="left" w:pos="3544"/>
          <w:tab w:val="left" w:pos="4678"/>
          <w:tab w:val="left" w:pos="5245"/>
          <w:tab w:val="left" w:pos="5812"/>
        </w:tabs>
        <w:spacing w:before="240" w:after="120"/>
        <w:ind w:left="2835" w:firstLine="0"/>
        <w:contextualSpacing w:val="0"/>
        <w:jc w:val="both"/>
        <w:rPr>
          <w:rFonts w:ascii="Courier New" w:hAnsi="Courier New" w:cs="Courier New"/>
          <w:sz w:val="24"/>
          <w:szCs w:val="24"/>
          <w:lang w:val="es-ES_tradnl" w:eastAsia="es-ES"/>
        </w:rPr>
      </w:pPr>
      <w:r>
        <w:rPr>
          <w:rFonts w:ascii="Courier New" w:hAnsi="Courier New" w:cs="Courier New"/>
          <w:sz w:val="24"/>
          <w:szCs w:val="24"/>
          <w:lang w:val="es-ES_tradnl" w:eastAsia="es-ES"/>
        </w:rPr>
        <w:t>La f</w:t>
      </w:r>
      <w:r w:rsidR="00A049DA" w:rsidRPr="0066271D">
        <w:rPr>
          <w:rFonts w:ascii="Courier New" w:hAnsi="Courier New" w:cs="Courier New"/>
          <w:sz w:val="24"/>
          <w:szCs w:val="24"/>
          <w:lang w:val="es-ES_tradnl" w:eastAsia="es-ES"/>
        </w:rPr>
        <w:t>ijación</w:t>
      </w:r>
      <w:r w:rsidR="00A049DA" w:rsidRPr="00307C00">
        <w:rPr>
          <w:rFonts w:ascii="Courier New" w:hAnsi="Courier New" w:cs="Courier New"/>
          <w:sz w:val="24"/>
          <w:szCs w:val="24"/>
          <w:lang w:val="es-ES_tradnl" w:eastAsia="es-ES"/>
        </w:rPr>
        <w:t xml:space="preserve"> de una nueva tasa de </w:t>
      </w:r>
      <w:r w:rsidR="006F15C2">
        <w:rPr>
          <w:rFonts w:ascii="Courier New" w:hAnsi="Courier New" w:cs="Courier New"/>
          <w:sz w:val="24"/>
          <w:szCs w:val="24"/>
          <w:lang w:val="es-ES_tradnl"/>
        </w:rPr>
        <w:t>actualización</w:t>
      </w:r>
      <w:r w:rsidR="0044260D" w:rsidRPr="00307C00">
        <w:rPr>
          <w:rFonts w:ascii="Courier New" w:hAnsi="Courier New" w:cs="Courier New"/>
          <w:sz w:val="24"/>
          <w:szCs w:val="24"/>
          <w:lang w:val="es-ES_tradnl" w:eastAsia="es-ES"/>
        </w:rPr>
        <w:t xml:space="preserve">, representativa de los riesgos actuales que enfrentan las empresas que prestan el servicio de distribución eléctrica. </w:t>
      </w:r>
    </w:p>
    <w:p w:rsidR="00307C00" w:rsidRPr="00307C00" w:rsidRDefault="004F4987" w:rsidP="00220FA4">
      <w:pPr>
        <w:pStyle w:val="Prrafodelista"/>
        <w:numPr>
          <w:ilvl w:val="0"/>
          <w:numId w:val="6"/>
        </w:numPr>
        <w:tabs>
          <w:tab w:val="left" w:pos="3544"/>
          <w:tab w:val="left" w:pos="4678"/>
          <w:tab w:val="left" w:pos="5245"/>
          <w:tab w:val="left" w:pos="5812"/>
        </w:tabs>
        <w:spacing w:before="240" w:after="120"/>
        <w:ind w:left="2835" w:firstLine="0"/>
        <w:contextualSpacing w:val="0"/>
        <w:jc w:val="both"/>
        <w:rPr>
          <w:rFonts w:ascii="Courier New" w:hAnsi="Courier New" w:cs="Courier New"/>
          <w:sz w:val="24"/>
          <w:szCs w:val="24"/>
          <w:lang w:val="es-ES_tradnl" w:eastAsia="es-ES"/>
        </w:rPr>
      </w:pPr>
      <w:r>
        <w:rPr>
          <w:rFonts w:ascii="Courier New" w:hAnsi="Courier New" w:cs="Courier New"/>
          <w:sz w:val="24"/>
          <w:szCs w:val="24"/>
          <w:lang w:val="es-ES_tradnl" w:eastAsia="es-ES"/>
        </w:rPr>
        <w:t xml:space="preserve">La </w:t>
      </w:r>
      <w:r w:rsidR="00511398">
        <w:rPr>
          <w:rFonts w:ascii="Courier New" w:hAnsi="Courier New" w:cs="Courier New"/>
          <w:sz w:val="24"/>
          <w:szCs w:val="24"/>
          <w:lang w:val="es-ES_tradnl" w:eastAsia="es-ES"/>
        </w:rPr>
        <w:t>m</w:t>
      </w:r>
      <w:r w:rsidR="00D81BB4">
        <w:rPr>
          <w:rFonts w:ascii="Courier New" w:hAnsi="Courier New" w:cs="Courier New"/>
          <w:sz w:val="24"/>
          <w:szCs w:val="24"/>
          <w:lang w:val="es-ES_tradnl" w:eastAsia="es-ES"/>
        </w:rPr>
        <w:t>odernización</w:t>
      </w:r>
      <w:r w:rsidR="00A049DA" w:rsidRPr="00307C00">
        <w:rPr>
          <w:rFonts w:ascii="Courier New" w:hAnsi="Courier New" w:cs="Courier New"/>
          <w:sz w:val="24"/>
          <w:szCs w:val="24"/>
          <w:lang w:val="es-ES_tradnl" w:eastAsia="es-ES"/>
        </w:rPr>
        <w:t xml:space="preserve"> del procedimiento de determinación y fijación de las tarifas de distribución, </w:t>
      </w:r>
      <w:r w:rsidR="00312290" w:rsidRPr="00307C00">
        <w:rPr>
          <w:rFonts w:ascii="Courier New" w:hAnsi="Courier New" w:cs="Courier New"/>
          <w:sz w:val="24"/>
          <w:szCs w:val="24"/>
          <w:lang w:val="es-ES_tradnl" w:eastAsia="es-ES"/>
        </w:rPr>
        <w:t>a fin de</w:t>
      </w:r>
      <w:r w:rsidR="00D81BB4">
        <w:rPr>
          <w:rFonts w:ascii="Courier New" w:hAnsi="Courier New" w:cs="Courier New"/>
          <w:sz w:val="24"/>
          <w:szCs w:val="24"/>
          <w:lang w:val="es-ES_tradnl" w:eastAsia="es-ES"/>
        </w:rPr>
        <w:t xml:space="preserve"> </w:t>
      </w:r>
      <w:r w:rsidR="00D81BB4">
        <w:rPr>
          <w:rFonts w:ascii="Courier New" w:hAnsi="Courier New" w:cs="Courier New"/>
          <w:sz w:val="24"/>
          <w:szCs w:val="24"/>
          <w:lang w:val="es-ES_tradnl" w:eastAsia="es-ES"/>
        </w:rPr>
        <w:lastRenderedPageBreak/>
        <w:t>determinar adecua</w:t>
      </w:r>
      <w:r w:rsidR="0044260D" w:rsidRPr="00307C00">
        <w:rPr>
          <w:rFonts w:ascii="Courier New" w:hAnsi="Courier New" w:cs="Courier New"/>
          <w:sz w:val="24"/>
          <w:szCs w:val="24"/>
          <w:lang w:val="es-ES_tradnl" w:eastAsia="es-ES"/>
        </w:rPr>
        <w:t>damente los costos</w:t>
      </w:r>
      <w:r w:rsidR="00312290" w:rsidRPr="00307C00">
        <w:rPr>
          <w:rFonts w:ascii="Courier New" w:hAnsi="Courier New" w:cs="Courier New"/>
          <w:sz w:val="24"/>
          <w:szCs w:val="24"/>
          <w:lang w:val="es-ES_tradnl" w:eastAsia="es-ES"/>
        </w:rPr>
        <w:t xml:space="preserve"> eficientes </w:t>
      </w:r>
      <w:r w:rsidR="003E0A15" w:rsidRPr="00307C00">
        <w:rPr>
          <w:rFonts w:ascii="Courier New" w:hAnsi="Courier New" w:cs="Courier New"/>
          <w:sz w:val="24"/>
          <w:szCs w:val="24"/>
          <w:lang w:val="es-ES_tradnl" w:eastAsia="es-ES"/>
        </w:rPr>
        <w:t>de</w:t>
      </w:r>
      <w:r w:rsidR="00312290" w:rsidRPr="00307C00">
        <w:rPr>
          <w:rFonts w:ascii="Courier New" w:hAnsi="Courier New" w:cs="Courier New"/>
          <w:sz w:val="24"/>
          <w:szCs w:val="24"/>
          <w:lang w:val="es-ES_tradnl" w:eastAsia="es-ES"/>
        </w:rPr>
        <w:t xml:space="preserve"> prestar el servicio de distribución</w:t>
      </w:r>
      <w:r w:rsidR="0044260D" w:rsidRPr="00307C00">
        <w:rPr>
          <w:rFonts w:ascii="Courier New" w:hAnsi="Courier New" w:cs="Courier New"/>
          <w:sz w:val="24"/>
          <w:szCs w:val="24"/>
          <w:lang w:val="es-ES_tradnl" w:eastAsia="es-ES"/>
        </w:rPr>
        <w:t>, evitando asimetrías de información</w:t>
      </w:r>
      <w:r w:rsidR="003E0A15" w:rsidRPr="00307C00">
        <w:rPr>
          <w:rFonts w:ascii="Courier New" w:hAnsi="Courier New" w:cs="Courier New"/>
          <w:sz w:val="24"/>
          <w:szCs w:val="24"/>
          <w:lang w:val="es-ES_tradnl" w:eastAsia="es-ES"/>
        </w:rPr>
        <w:t xml:space="preserve"> y</w:t>
      </w:r>
      <w:r w:rsidR="00312290" w:rsidRPr="00307C00">
        <w:rPr>
          <w:rFonts w:ascii="Courier New" w:hAnsi="Courier New" w:cs="Courier New"/>
          <w:sz w:val="24"/>
          <w:szCs w:val="24"/>
          <w:lang w:val="es-ES_tradnl" w:eastAsia="es-ES"/>
        </w:rPr>
        <w:t xml:space="preserve"> permitiendo la participación </w:t>
      </w:r>
      <w:r w:rsidR="0044260D" w:rsidRPr="00307C00">
        <w:rPr>
          <w:rFonts w:ascii="Courier New" w:hAnsi="Courier New" w:cs="Courier New"/>
          <w:sz w:val="24"/>
          <w:szCs w:val="24"/>
          <w:lang w:val="es-ES_tradnl" w:eastAsia="es-ES"/>
        </w:rPr>
        <w:t xml:space="preserve">de los agentes </w:t>
      </w:r>
      <w:r w:rsidR="003E0A15" w:rsidRPr="00307C00">
        <w:rPr>
          <w:rFonts w:ascii="Courier New" w:hAnsi="Courier New" w:cs="Courier New"/>
          <w:sz w:val="24"/>
          <w:szCs w:val="24"/>
          <w:lang w:val="es-ES_tradnl" w:eastAsia="es-ES"/>
        </w:rPr>
        <w:t xml:space="preserve">interesados </w:t>
      </w:r>
      <w:r w:rsidR="0044260D" w:rsidRPr="00307C00">
        <w:rPr>
          <w:rFonts w:ascii="Courier New" w:hAnsi="Courier New" w:cs="Courier New"/>
          <w:sz w:val="24"/>
          <w:szCs w:val="24"/>
          <w:lang w:val="es-ES_tradnl" w:eastAsia="es-ES"/>
        </w:rPr>
        <w:t>de forma transparente y contestable, basado en argumentos técnicos, jurídicos y económicos.</w:t>
      </w:r>
    </w:p>
    <w:p w:rsidR="0044260D" w:rsidRPr="00077E5F" w:rsidRDefault="004F4987" w:rsidP="00220FA4">
      <w:pPr>
        <w:pStyle w:val="Prrafodelista"/>
        <w:numPr>
          <w:ilvl w:val="0"/>
          <w:numId w:val="6"/>
        </w:numPr>
        <w:tabs>
          <w:tab w:val="left" w:pos="3686"/>
        </w:tabs>
        <w:spacing w:before="240" w:after="120"/>
        <w:ind w:left="2835" w:firstLine="0"/>
        <w:jc w:val="both"/>
        <w:rPr>
          <w:rFonts w:ascii="Courier New" w:hAnsi="Courier New" w:cs="Courier New"/>
          <w:b/>
          <w:sz w:val="24"/>
          <w:szCs w:val="24"/>
          <w:lang w:val="es-ES_tradnl" w:eastAsia="es-ES"/>
        </w:rPr>
      </w:pPr>
      <w:r>
        <w:rPr>
          <w:rFonts w:ascii="Courier New" w:hAnsi="Courier New" w:cs="Courier New"/>
          <w:sz w:val="24"/>
          <w:szCs w:val="24"/>
          <w:lang w:val="es-ES_tradnl" w:eastAsia="es-ES"/>
        </w:rPr>
        <w:t>Una n</w:t>
      </w:r>
      <w:r w:rsidR="00902E84" w:rsidRPr="00307C00">
        <w:rPr>
          <w:rFonts w:ascii="Courier New" w:hAnsi="Courier New" w:cs="Courier New"/>
          <w:sz w:val="24"/>
          <w:szCs w:val="24"/>
          <w:lang w:val="es-ES_tradnl" w:eastAsia="es-ES"/>
        </w:rPr>
        <w:t>ueva definición de “</w:t>
      </w:r>
      <w:r w:rsidR="0044260D" w:rsidRPr="00307C00">
        <w:rPr>
          <w:rFonts w:ascii="Courier New" w:hAnsi="Courier New" w:cs="Courier New"/>
          <w:sz w:val="24"/>
          <w:szCs w:val="24"/>
          <w:lang w:val="es-ES_tradnl" w:eastAsia="es-ES"/>
        </w:rPr>
        <w:t>áreas típicas</w:t>
      </w:r>
      <w:r w:rsidR="00902E84" w:rsidRPr="00307C00">
        <w:rPr>
          <w:rFonts w:ascii="Courier New" w:hAnsi="Courier New" w:cs="Courier New"/>
          <w:sz w:val="24"/>
          <w:szCs w:val="24"/>
          <w:lang w:val="es-ES_tradnl" w:eastAsia="es-ES"/>
        </w:rPr>
        <w:t xml:space="preserve">” </w:t>
      </w:r>
      <w:r w:rsidR="00D81BB4">
        <w:rPr>
          <w:rFonts w:ascii="Courier New" w:hAnsi="Courier New" w:cs="Courier New"/>
          <w:sz w:val="24"/>
          <w:szCs w:val="24"/>
          <w:lang w:val="es-ES_tradnl" w:eastAsia="es-ES"/>
        </w:rPr>
        <w:t>que reflejen</w:t>
      </w:r>
      <w:r w:rsidR="0044260D" w:rsidRPr="00307C00">
        <w:rPr>
          <w:rFonts w:ascii="Courier New" w:hAnsi="Courier New" w:cs="Courier New"/>
          <w:sz w:val="24"/>
          <w:szCs w:val="24"/>
          <w:lang w:val="es-ES_tradnl" w:eastAsia="es-ES"/>
        </w:rPr>
        <w:t xml:space="preserve"> adecuadamente los costos de la empresa modelo que actúe </w:t>
      </w:r>
      <w:r w:rsidR="0044260D" w:rsidRPr="00307C00" w:rsidDel="00172851">
        <w:rPr>
          <w:rFonts w:ascii="Courier New" w:hAnsi="Courier New" w:cs="Courier New"/>
          <w:sz w:val="24"/>
          <w:szCs w:val="24"/>
        </w:rPr>
        <w:t>de manera eficiente y</w:t>
      </w:r>
      <w:r w:rsidR="0044260D" w:rsidRPr="00307C00">
        <w:rPr>
          <w:rFonts w:ascii="Courier New" w:hAnsi="Courier New" w:cs="Courier New"/>
          <w:sz w:val="24"/>
          <w:szCs w:val="24"/>
        </w:rPr>
        <w:t xml:space="preserve"> cumpla</w:t>
      </w:r>
      <w:r w:rsidR="0044260D" w:rsidRPr="00077E5F" w:rsidDel="00172851">
        <w:rPr>
          <w:rFonts w:ascii="Courier New" w:hAnsi="Courier New" w:cs="Courier New"/>
          <w:sz w:val="24"/>
          <w:szCs w:val="24"/>
        </w:rPr>
        <w:t xml:space="preserve"> con las exigencias de calidad de servicio establecidas en la normativa</w:t>
      </w:r>
      <w:r w:rsidR="0044260D" w:rsidRPr="00077E5F">
        <w:rPr>
          <w:rFonts w:ascii="Courier New" w:hAnsi="Courier New" w:cs="Courier New"/>
          <w:sz w:val="24"/>
          <w:szCs w:val="24"/>
        </w:rPr>
        <w:t>.</w:t>
      </w:r>
    </w:p>
    <w:p w:rsidR="0044260D" w:rsidRPr="00077E5F" w:rsidRDefault="00A04846" w:rsidP="00220FA4">
      <w:pPr>
        <w:pStyle w:val="Ttulo1"/>
        <w:numPr>
          <w:ilvl w:val="0"/>
          <w:numId w:val="0"/>
        </w:numPr>
        <w:ind w:left="2835"/>
        <w:rPr>
          <w:rFonts w:cs="Courier New"/>
          <w:szCs w:val="24"/>
        </w:rPr>
      </w:pPr>
      <w:r w:rsidRPr="00077E5F">
        <w:rPr>
          <w:rFonts w:cs="Courier New"/>
          <w:szCs w:val="24"/>
        </w:rPr>
        <w:t xml:space="preserve">III. </w:t>
      </w:r>
      <w:r w:rsidR="0044260D" w:rsidRPr="00077E5F">
        <w:rPr>
          <w:rFonts w:cs="Courier New"/>
          <w:szCs w:val="24"/>
        </w:rPr>
        <w:t>CONTENIDO DEL PROYECTO</w:t>
      </w:r>
      <w:r w:rsidR="004F4987">
        <w:rPr>
          <w:rFonts w:cs="Courier New"/>
          <w:szCs w:val="24"/>
        </w:rPr>
        <w:t xml:space="preserve"> DE LEY</w:t>
      </w:r>
    </w:p>
    <w:p w:rsidR="0044260D" w:rsidRPr="00220FA4" w:rsidRDefault="0044260D" w:rsidP="00220FA4">
      <w:pPr>
        <w:tabs>
          <w:tab w:val="left" w:pos="708"/>
          <w:tab w:val="left" w:pos="3544"/>
        </w:tabs>
        <w:spacing w:before="240" w:after="120"/>
        <w:ind w:left="2835" w:firstLine="709"/>
        <w:jc w:val="both"/>
        <w:rPr>
          <w:rFonts w:ascii="Courier New" w:hAnsi="Courier New"/>
          <w:spacing w:val="-3"/>
          <w:sz w:val="24"/>
          <w:lang w:val="es-ES_tradnl"/>
        </w:rPr>
      </w:pPr>
      <w:r w:rsidRPr="00220FA4">
        <w:rPr>
          <w:rFonts w:ascii="Courier New" w:hAnsi="Courier New"/>
          <w:spacing w:val="-3"/>
          <w:sz w:val="24"/>
          <w:lang w:val="es-ES_tradnl"/>
        </w:rPr>
        <w:t xml:space="preserve">El proyecto </w:t>
      </w:r>
      <w:r w:rsidR="004F4987">
        <w:rPr>
          <w:rFonts w:ascii="Courier New" w:eastAsia="Times New Roman" w:hAnsi="Courier New" w:cs="Courier New"/>
          <w:spacing w:val="-3"/>
          <w:sz w:val="24"/>
          <w:szCs w:val="24"/>
          <w:lang w:val="es-ES_tradnl" w:eastAsia="es-ES"/>
        </w:rPr>
        <w:t xml:space="preserve">de ley </w:t>
      </w:r>
      <w:r w:rsidRPr="00220FA4">
        <w:rPr>
          <w:rFonts w:ascii="Courier New" w:hAnsi="Courier New"/>
          <w:spacing w:val="-3"/>
          <w:sz w:val="24"/>
          <w:lang w:val="es-ES_tradnl"/>
        </w:rPr>
        <w:t xml:space="preserve">se estructura en </w:t>
      </w:r>
      <w:r w:rsidR="0098530A" w:rsidRPr="00220FA4">
        <w:rPr>
          <w:rFonts w:ascii="Courier New" w:hAnsi="Courier New"/>
          <w:spacing w:val="-3"/>
          <w:sz w:val="24"/>
          <w:lang w:val="es-ES_tradnl"/>
        </w:rPr>
        <w:t xml:space="preserve">un </w:t>
      </w:r>
      <w:r w:rsidRPr="00220FA4">
        <w:rPr>
          <w:rFonts w:ascii="Courier New" w:hAnsi="Courier New"/>
          <w:spacing w:val="-3"/>
          <w:sz w:val="24"/>
          <w:lang w:val="es-ES_tradnl"/>
        </w:rPr>
        <w:t>artículo</w:t>
      </w:r>
      <w:r w:rsidR="0098530A" w:rsidRPr="00220FA4">
        <w:rPr>
          <w:rFonts w:ascii="Courier New" w:hAnsi="Courier New"/>
          <w:spacing w:val="-3"/>
          <w:sz w:val="24"/>
          <w:lang w:val="es-ES_tradnl"/>
        </w:rPr>
        <w:t xml:space="preserve"> permanente</w:t>
      </w:r>
      <w:r w:rsidRPr="00220FA4">
        <w:rPr>
          <w:rFonts w:ascii="Courier New" w:hAnsi="Courier New"/>
          <w:spacing w:val="-3"/>
          <w:sz w:val="24"/>
          <w:lang w:val="es-ES_tradnl"/>
        </w:rPr>
        <w:t xml:space="preserve"> y </w:t>
      </w:r>
      <w:r w:rsidR="0098530A" w:rsidRPr="00220FA4">
        <w:rPr>
          <w:rFonts w:ascii="Courier New" w:hAnsi="Courier New"/>
          <w:spacing w:val="-3"/>
          <w:sz w:val="24"/>
          <w:lang w:val="es-ES_tradnl"/>
        </w:rPr>
        <w:t>uno transitorio</w:t>
      </w:r>
      <w:r w:rsidRPr="00220FA4">
        <w:rPr>
          <w:rFonts w:ascii="Courier New" w:hAnsi="Courier New"/>
          <w:spacing w:val="-3"/>
          <w:sz w:val="24"/>
          <w:lang w:val="es-ES_tradnl"/>
        </w:rPr>
        <w:t>.</w:t>
      </w:r>
    </w:p>
    <w:p w:rsidR="0044260D" w:rsidRPr="00077E5F" w:rsidRDefault="0044260D" w:rsidP="00220FA4">
      <w:pPr>
        <w:tabs>
          <w:tab w:val="left" w:pos="708"/>
          <w:tab w:val="left" w:pos="3544"/>
        </w:tabs>
        <w:spacing w:before="240" w:after="120"/>
        <w:ind w:left="2835" w:firstLine="709"/>
        <w:jc w:val="both"/>
        <w:rPr>
          <w:rFonts w:ascii="Courier New" w:hAnsi="Courier New" w:cs="Courier New"/>
          <w:sz w:val="24"/>
          <w:szCs w:val="24"/>
        </w:rPr>
      </w:pPr>
      <w:r w:rsidRPr="00220FA4">
        <w:rPr>
          <w:rFonts w:ascii="Courier New" w:hAnsi="Courier New"/>
          <w:spacing w:val="-3"/>
          <w:sz w:val="24"/>
          <w:lang w:val="es-ES_tradnl"/>
        </w:rPr>
        <w:t xml:space="preserve">El artículo </w:t>
      </w:r>
      <w:r w:rsidR="0098530A" w:rsidRPr="00220FA4">
        <w:rPr>
          <w:rFonts w:ascii="Courier New" w:hAnsi="Courier New"/>
          <w:spacing w:val="-3"/>
          <w:sz w:val="24"/>
          <w:lang w:val="es-ES_tradnl"/>
        </w:rPr>
        <w:t>único</w:t>
      </w:r>
      <w:r w:rsidRPr="00220FA4">
        <w:rPr>
          <w:rFonts w:ascii="Courier New" w:hAnsi="Courier New"/>
          <w:spacing w:val="-3"/>
          <w:sz w:val="24"/>
          <w:lang w:val="es-ES_tradnl"/>
        </w:rPr>
        <w:t xml:space="preserve"> permanente introduce una</w:t>
      </w:r>
      <w:r w:rsidRPr="00077E5F">
        <w:rPr>
          <w:rFonts w:ascii="Courier New" w:eastAsia="Times New Roman" w:hAnsi="Courier New" w:cs="Courier New"/>
          <w:sz w:val="24"/>
          <w:szCs w:val="24"/>
          <w:lang w:val="es-ES_tradnl" w:eastAsia="es-ES"/>
        </w:rPr>
        <w:t xml:space="preserve"> serie de modificaciones en la </w:t>
      </w:r>
      <w:r w:rsidR="004F4987">
        <w:rPr>
          <w:rFonts w:ascii="Courier New" w:eastAsia="Times New Roman" w:hAnsi="Courier New" w:cs="Courier New"/>
          <w:sz w:val="24"/>
          <w:szCs w:val="24"/>
          <w:lang w:val="es-ES_tradnl" w:eastAsia="es-ES"/>
        </w:rPr>
        <w:t>L</w:t>
      </w:r>
      <w:r w:rsidRPr="00077E5F">
        <w:rPr>
          <w:rFonts w:ascii="Courier New" w:eastAsia="Times New Roman" w:hAnsi="Courier New" w:cs="Courier New"/>
          <w:sz w:val="24"/>
          <w:szCs w:val="24"/>
          <w:lang w:val="es-ES_tradnl" w:eastAsia="es-ES"/>
        </w:rPr>
        <w:t xml:space="preserve">ey </w:t>
      </w:r>
      <w:r w:rsidR="004F4987">
        <w:rPr>
          <w:rFonts w:ascii="Courier New" w:eastAsia="Times New Roman" w:hAnsi="Courier New" w:cs="Courier New"/>
          <w:sz w:val="24"/>
          <w:szCs w:val="24"/>
          <w:lang w:val="es-ES_tradnl" w:eastAsia="es-ES"/>
        </w:rPr>
        <w:t>G</w:t>
      </w:r>
      <w:r w:rsidRPr="00077E5F">
        <w:rPr>
          <w:rFonts w:ascii="Courier New" w:eastAsia="Times New Roman" w:hAnsi="Courier New" w:cs="Courier New"/>
          <w:sz w:val="24"/>
          <w:szCs w:val="24"/>
          <w:lang w:val="es-ES_tradnl" w:eastAsia="es-ES"/>
        </w:rPr>
        <w:t xml:space="preserve">eneral de </w:t>
      </w:r>
      <w:r w:rsidR="004F4987">
        <w:rPr>
          <w:rFonts w:ascii="Courier New" w:eastAsia="Times New Roman" w:hAnsi="Courier New" w:cs="Courier New"/>
          <w:sz w:val="24"/>
          <w:szCs w:val="24"/>
          <w:lang w:val="es-ES_tradnl" w:eastAsia="es-ES"/>
        </w:rPr>
        <w:t>S</w:t>
      </w:r>
      <w:r w:rsidRPr="00077E5F">
        <w:rPr>
          <w:rFonts w:ascii="Courier New" w:eastAsia="Times New Roman" w:hAnsi="Courier New" w:cs="Courier New"/>
          <w:sz w:val="24"/>
          <w:szCs w:val="24"/>
          <w:lang w:val="es-ES_tradnl" w:eastAsia="es-ES"/>
        </w:rPr>
        <w:t xml:space="preserve">ervicios </w:t>
      </w:r>
      <w:r w:rsidR="004F4987">
        <w:rPr>
          <w:rFonts w:ascii="Courier New" w:eastAsia="Times New Roman" w:hAnsi="Courier New" w:cs="Courier New"/>
          <w:sz w:val="24"/>
          <w:szCs w:val="24"/>
          <w:lang w:val="es-ES_tradnl" w:eastAsia="es-ES"/>
        </w:rPr>
        <w:t>E</w:t>
      </w:r>
      <w:r w:rsidRPr="00077E5F">
        <w:rPr>
          <w:rFonts w:ascii="Courier New" w:eastAsia="Times New Roman" w:hAnsi="Courier New" w:cs="Courier New"/>
          <w:sz w:val="24"/>
          <w:szCs w:val="24"/>
          <w:lang w:val="es-ES_tradnl" w:eastAsia="es-ES"/>
        </w:rPr>
        <w:t xml:space="preserve">léctricos y se estructura en </w:t>
      </w:r>
      <w:r w:rsidR="0098530A" w:rsidRPr="00077E5F">
        <w:rPr>
          <w:rFonts w:ascii="Courier New" w:eastAsia="Times New Roman" w:hAnsi="Courier New" w:cs="Courier New"/>
          <w:sz w:val="24"/>
          <w:szCs w:val="24"/>
          <w:lang w:val="es-ES_tradnl" w:eastAsia="es-ES"/>
        </w:rPr>
        <w:t>las siguientes materias</w:t>
      </w:r>
      <w:r w:rsidRPr="00077E5F">
        <w:rPr>
          <w:rFonts w:ascii="Courier New" w:eastAsia="Times New Roman" w:hAnsi="Courier New" w:cs="Courier New"/>
          <w:sz w:val="24"/>
          <w:szCs w:val="24"/>
          <w:lang w:val="es-ES_tradnl" w:eastAsia="es-ES"/>
        </w:rPr>
        <w:t>:</w:t>
      </w:r>
    </w:p>
    <w:p w:rsidR="0044260D" w:rsidRPr="00077E5F" w:rsidRDefault="008471A2" w:rsidP="00220FA4">
      <w:pPr>
        <w:pStyle w:val="Ttulo2"/>
        <w:numPr>
          <w:ilvl w:val="0"/>
          <w:numId w:val="8"/>
        </w:numPr>
        <w:tabs>
          <w:tab w:val="left" w:pos="3544"/>
        </w:tabs>
        <w:ind w:left="2835" w:firstLine="0"/>
        <w:rPr>
          <w:rFonts w:eastAsiaTheme="minorHAnsi"/>
          <w:b w:val="0"/>
          <w:szCs w:val="24"/>
          <w:lang w:val="es-ES_tradnl" w:eastAsia="es-ES"/>
        </w:rPr>
      </w:pPr>
      <w:r w:rsidRPr="00077E5F">
        <w:rPr>
          <w:rFonts w:eastAsiaTheme="minorHAnsi"/>
          <w:b w:val="0"/>
          <w:szCs w:val="24"/>
          <w:lang w:val="es-ES_tradnl" w:eastAsia="es-ES"/>
        </w:rPr>
        <w:lastRenderedPageBreak/>
        <w:t xml:space="preserve">Determinación de una nueva </w:t>
      </w:r>
      <w:r w:rsidR="0044260D" w:rsidRPr="00077E5F">
        <w:rPr>
          <w:rFonts w:eastAsiaTheme="minorHAnsi"/>
          <w:b w:val="0"/>
          <w:szCs w:val="24"/>
          <w:lang w:val="es-ES_tradnl" w:eastAsia="es-ES"/>
        </w:rPr>
        <w:t xml:space="preserve">tasa de </w:t>
      </w:r>
      <w:r w:rsidR="006F15C2" w:rsidRPr="006F15C2">
        <w:rPr>
          <w:b w:val="0"/>
          <w:szCs w:val="24"/>
          <w:lang w:val="es-ES_tradnl"/>
        </w:rPr>
        <w:t>actualización</w:t>
      </w:r>
      <w:r w:rsidR="006F15C2" w:rsidRPr="00077E5F">
        <w:rPr>
          <w:szCs w:val="24"/>
          <w:lang w:val="es-ES_tradnl"/>
        </w:rPr>
        <w:t xml:space="preserve"> </w:t>
      </w:r>
      <w:r w:rsidRPr="00077E5F">
        <w:rPr>
          <w:rFonts w:eastAsiaTheme="minorHAnsi"/>
          <w:b w:val="0"/>
          <w:szCs w:val="24"/>
          <w:lang w:val="es-ES_tradnl" w:eastAsia="es-ES"/>
        </w:rPr>
        <w:t>de las empresas;</w:t>
      </w:r>
    </w:p>
    <w:p w:rsidR="008471A2" w:rsidRPr="00077E5F" w:rsidRDefault="008471A2" w:rsidP="00220FA4">
      <w:pPr>
        <w:pStyle w:val="Ttulo2"/>
        <w:numPr>
          <w:ilvl w:val="0"/>
          <w:numId w:val="8"/>
        </w:numPr>
        <w:tabs>
          <w:tab w:val="left" w:pos="3544"/>
        </w:tabs>
        <w:ind w:left="2835" w:firstLine="0"/>
        <w:rPr>
          <w:rFonts w:eastAsiaTheme="minorHAnsi"/>
          <w:b w:val="0"/>
          <w:szCs w:val="24"/>
          <w:lang w:val="es-ES_tradnl" w:eastAsia="es-ES"/>
        </w:rPr>
      </w:pPr>
      <w:r w:rsidRPr="00077E5F">
        <w:rPr>
          <w:b w:val="0"/>
          <w:szCs w:val="24"/>
          <w:lang w:val="es-ES_tradnl" w:eastAsia="es-ES"/>
        </w:rPr>
        <w:t xml:space="preserve">Fijación de un nuevo procedimiento </w:t>
      </w:r>
      <w:r w:rsidR="0044260D" w:rsidRPr="00077E5F">
        <w:rPr>
          <w:b w:val="0"/>
          <w:szCs w:val="24"/>
          <w:lang w:val="es-ES_tradnl" w:eastAsia="es-ES"/>
        </w:rPr>
        <w:t>para</w:t>
      </w:r>
      <w:r w:rsidRPr="00077E5F">
        <w:rPr>
          <w:b w:val="0"/>
          <w:szCs w:val="24"/>
          <w:lang w:val="es-ES_tradnl" w:eastAsia="es-ES"/>
        </w:rPr>
        <w:t xml:space="preserve"> la</w:t>
      </w:r>
      <w:r w:rsidR="0044260D" w:rsidRPr="00077E5F">
        <w:rPr>
          <w:b w:val="0"/>
          <w:szCs w:val="24"/>
          <w:lang w:val="es-ES_tradnl" w:eastAsia="es-ES"/>
        </w:rPr>
        <w:t xml:space="preserve"> realización de</w:t>
      </w:r>
      <w:r w:rsidRPr="00077E5F">
        <w:rPr>
          <w:b w:val="0"/>
          <w:szCs w:val="24"/>
          <w:lang w:val="es-ES_tradnl" w:eastAsia="es-ES"/>
        </w:rPr>
        <w:t xml:space="preserve"> los </w:t>
      </w:r>
      <w:r w:rsidR="0044260D" w:rsidRPr="00077E5F">
        <w:rPr>
          <w:b w:val="0"/>
          <w:szCs w:val="24"/>
          <w:lang w:val="es-ES_tradnl" w:eastAsia="es-ES"/>
        </w:rPr>
        <w:t xml:space="preserve">estudios tarifarios </w:t>
      </w:r>
      <w:r w:rsidRPr="00077E5F">
        <w:rPr>
          <w:b w:val="0"/>
          <w:szCs w:val="24"/>
          <w:lang w:val="es-ES_tradnl" w:eastAsia="es-ES"/>
        </w:rPr>
        <w:t>en materia de distribución de energía eléctrica;</w:t>
      </w:r>
    </w:p>
    <w:p w:rsidR="00A112F8" w:rsidRPr="00220FA4" w:rsidRDefault="008471A2" w:rsidP="0066271D">
      <w:pPr>
        <w:pStyle w:val="Ttulo2"/>
        <w:numPr>
          <w:ilvl w:val="0"/>
          <w:numId w:val="8"/>
        </w:numPr>
        <w:tabs>
          <w:tab w:val="left" w:pos="3686"/>
        </w:tabs>
        <w:ind w:left="2835" w:firstLine="0"/>
        <w:rPr>
          <w:rFonts w:eastAsiaTheme="minorHAnsi"/>
          <w:b w:val="0"/>
          <w:szCs w:val="24"/>
          <w:lang w:val="es-ES_tradnl" w:eastAsia="es-ES"/>
        </w:rPr>
      </w:pPr>
      <w:r w:rsidRPr="00077E5F">
        <w:rPr>
          <w:rFonts w:eastAsiaTheme="minorHAnsi"/>
          <w:b w:val="0"/>
          <w:szCs w:val="24"/>
          <w:lang w:val="es-ES_tradnl" w:eastAsia="es-ES"/>
        </w:rPr>
        <w:t>Perfeccionamiento de la definición de “</w:t>
      </w:r>
      <w:r w:rsidR="0044260D" w:rsidRPr="00077E5F">
        <w:rPr>
          <w:b w:val="0"/>
          <w:szCs w:val="24"/>
          <w:lang w:val="es-ES_tradnl" w:eastAsia="es-ES"/>
        </w:rPr>
        <w:t>áreas típicas</w:t>
      </w:r>
      <w:r w:rsidRPr="00077E5F">
        <w:rPr>
          <w:b w:val="0"/>
          <w:szCs w:val="24"/>
          <w:lang w:val="es-ES_tradnl" w:eastAsia="es-ES"/>
        </w:rPr>
        <w:t>”.</w:t>
      </w:r>
      <w:r w:rsidR="0044260D" w:rsidRPr="00077E5F">
        <w:rPr>
          <w:b w:val="0"/>
          <w:szCs w:val="24"/>
          <w:lang w:val="es-ES_tradnl" w:eastAsia="es-ES"/>
        </w:rPr>
        <w:t xml:space="preserve"> </w:t>
      </w:r>
    </w:p>
    <w:p w:rsidR="0044260D" w:rsidRPr="00077E5F" w:rsidRDefault="004F097D" w:rsidP="00220FA4">
      <w:pPr>
        <w:pStyle w:val="Ttulo2"/>
        <w:numPr>
          <w:ilvl w:val="0"/>
          <w:numId w:val="0"/>
        </w:numPr>
        <w:tabs>
          <w:tab w:val="left" w:pos="3686"/>
        </w:tabs>
        <w:ind w:left="2835"/>
        <w:rPr>
          <w:rFonts w:eastAsiaTheme="minorHAnsi"/>
          <w:b w:val="0"/>
          <w:szCs w:val="24"/>
          <w:lang w:val="es-ES_tradnl" w:eastAsia="es-ES"/>
        </w:rPr>
      </w:pPr>
      <w:r>
        <w:rPr>
          <w:b w:val="0"/>
          <w:szCs w:val="24"/>
          <w:lang w:val="es-ES_tradnl" w:eastAsia="es-ES"/>
        </w:rPr>
        <w:tab/>
        <w:t>En el artículo</w:t>
      </w:r>
      <w:r w:rsidR="00A112F8">
        <w:rPr>
          <w:b w:val="0"/>
          <w:szCs w:val="24"/>
          <w:lang w:val="es-ES_tradnl" w:eastAsia="es-ES"/>
        </w:rPr>
        <w:t xml:space="preserve"> transitorio</w:t>
      </w:r>
      <w:r>
        <w:rPr>
          <w:b w:val="0"/>
          <w:szCs w:val="24"/>
          <w:lang w:val="es-ES_tradnl" w:eastAsia="es-ES"/>
        </w:rPr>
        <w:t>,</w:t>
      </w:r>
      <w:r w:rsidR="00A112F8">
        <w:rPr>
          <w:b w:val="0"/>
          <w:szCs w:val="24"/>
          <w:lang w:val="es-ES_tradnl" w:eastAsia="es-ES"/>
        </w:rPr>
        <w:t xml:space="preserve"> el proyecto de ley contempla expresamente que sus disposiciones </w:t>
      </w:r>
      <w:r w:rsidR="00A112F8" w:rsidRPr="00A112F8">
        <w:rPr>
          <w:b w:val="0"/>
          <w:szCs w:val="24"/>
          <w:lang w:val="es-ES_tradnl" w:eastAsia="es-ES"/>
        </w:rPr>
        <w:t>se aplicará</w:t>
      </w:r>
      <w:r w:rsidR="00A112F8">
        <w:rPr>
          <w:b w:val="0"/>
          <w:szCs w:val="24"/>
          <w:lang w:val="es-ES_tradnl" w:eastAsia="es-ES"/>
        </w:rPr>
        <w:t>n</w:t>
      </w:r>
      <w:r w:rsidR="00A112F8" w:rsidRPr="00A112F8">
        <w:rPr>
          <w:b w:val="0"/>
          <w:szCs w:val="24"/>
          <w:lang w:val="es-ES_tradnl" w:eastAsia="es-ES"/>
        </w:rPr>
        <w:t xml:space="preserve"> al proceso de determinación de tarifas de distribución correspondiente al cuadrienio 2020-2024, así como también al proceso de fijación de precios de servicios no consistentes en suministros de energía, asociados a la distribución de energía eléctrica, en lo que fuere pertinente.</w:t>
      </w:r>
    </w:p>
    <w:p w:rsidR="00084BF8" w:rsidRDefault="0044260D" w:rsidP="00084BF8">
      <w:pPr>
        <w:tabs>
          <w:tab w:val="left" w:pos="708"/>
          <w:tab w:val="left" w:pos="3544"/>
        </w:tabs>
        <w:spacing w:before="240" w:after="120"/>
        <w:ind w:left="2835" w:firstLine="709"/>
        <w:jc w:val="both"/>
        <w:rPr>
          <w:rFonts w:ascii="Courier New" w:eastAsia="Times New Roman" w:hAnsi="Courier New" w:cs="Courier New"/>
          <w:sz w:val="24"/>
          <w:szCs w:val="24"/>
          <w:lang w:eastAsia="es-ES"/>
        </w:rPr>
      </w:pPr>
      <w:r w:rsidRPr="00077E5F">
        <w:rPr>
          <w:rFonts w:ascii="Courier New" w:eastAsia="Times New Roman" w:hAnsi="Courier New" w:cs="Courier New"/>
          <w:sz w:val="24"/>
          <w:szCs w:val="24"/>
          <w:lang w:eastAsia="es-ES"/>
        </w:rPr>
        <w:t>En consecuencia, tengo el honor de someter a vue</w:t>
      </w:r>
      <w:r w:rsidR="004A23CD">
        <w:rPr>
          <w:rFonts w:ascii="Courier New" w:eastAsia="Times New Roman" w:hAnsi="Courier New" w:cs="Courier New"/>
          <w:sz w:val="24"/>
          <w:szCs w:val="24"/>
          <w:lang w:eastAsia="es-ES"/>
        </w:rPr>
        <w:t>stra consideración, el siguiente</w:t>
      </w:r>
    </w:p>
    <w:p w:rsidR="00084BF8" w:rsidRDefault="00084BF8" w:rsidP="00084BF8">
      <w:pPr>
        <w:tabs>
          <w:tab w:val="left" w:pos="708"/>
          <w:tab w:val="left" w:pos="3544"/>
        </w:tabs>
        <w:spacing w:after="120"/>
        <w:ind w:left="2835" w:firstLine="709"/>
        <w:jc w:val="both"/>
        <w:rPr>
          <w:rFonts w:ascii="Courier New" w:eastAsia="Times New Roman" w:hAnsi="Courier New" w:cs="Courier New"/>
          <w:sz w:val="24"/>
          <w:szCs w:val="24"/>
          <w:lang w:eastAsia="es-ES"/>
        </w:rPr>
      </w:pPr>
    </w:p>
    <w:p w:rsidR="00C54E76" w:rsidRPr="00077E5F" w:rsidRDefault="00C54E76" w:rsidP="00084BF8">
      <w:pPr>
        <w:pStyle w:val="Ttulo1"/>
        <w:keepNext w:val="0"/>
        <w:numPr>
          <w:ilvl w:val="0"/>
          <w:numId w:val="0"/>
        </w:numPr>
        <w:tabs>
          <w:tab w:val="left" w:pos="708"/>
        </w:tabs>
        <w:spacing w:before="0" w:after="0" w:line="276" w:lineRule="auto"/>
        <w:jc w:val="center"/>
        <w:rPr>
          <w:rFonts w:cs="Courier New"/>
          <w:b w:val="0"/>
          <w:szCs w:val="24"/>
        </w:rPr>
      </w:pPr>
      <w:r w:rsidRPr="00077E5F">
        <w:rPr>
          <w:rFonts w:cs="Courier New"/>
          <w:szCs w:val="24"/>
        </w:rPr>
        <w:t>P R O Y E C T O  D E  L E Y:</w:t>
      </w:r>
    </w:p>
    <w:p w:rsidR="00084BF8" w:rsidRPr="00077E5F" w:rsidRDefault="00084BF8" w:rsidP="00084BF8">
      <w:pPr>
        <w:spacing w:after="120"/>
        <w:jc w:val="both"/>
        <w:rPr>
          <w:rFonts w:ascii="Courier New" w:hAnsi="Courier New" w:cs="Courier New"/>
          <w:b/>
          <w:sz w:val="24"/>
          <w:szCs w:val="24"/>
          <w:lang w:val="es-ES_tradnl"/>
        </w:rPr>
      </w:pPr>
    </w:p>
    <w:p w:rsidR="00C54E76" w:rsidRPr="00077E5F" w:rsidRDefault="00C54E76" w:rsidP="00220FA4">
      <w:pPr>
        <w:tabs>
          <w:tab w:val="left" w:pos="2268"/>
        </w:tabs>
        <w:spacing w:after="0"/>
        <w:ind w:firstLine="0"/>
        <w:jc w:val="both"/>
        <w:rPr>
          <w:rFonts w:ascii="Courier New" w:hAnsi="Courier New" w:cs="Courier New"/>
          <w:sz w:val="24"/>
          <w:szCs w:val="24"/>
          <w:lang w:val="es-ES_tradnl"/>
        </w:rPr>
      </w:pPr>
      <w:r w:rsidRPr="00077E5F">
        <w:rPr>
          <w:rFonts w:ascii="Courier New" w:hAnsi="Courier New" w:cs="Courier New"/>
          <w:b/>
          <w:sz w:val="24"/>
          <w:szCs w:val="24"/>
          <w:lang w:val="es-ES_tradnl"/>
        </w:rPr>
        <w:t xml:space="preserve">“Artículo </w:t>
      </w:r>
      <w:r w:rsidR="00B40741" w:rsidRPr="00077E5F">
        <w:rPr>
          <w:rFonts w:ascii="Courier New" w:hAnsi="Courier New" w:cs="Courier New"/>
          <w:b/>
          <w:sz w:val="24"/>
          <w:szCs w:val="24"/>
          <w:lang w:val="es-ES_tradnl"/>
        </w:rPr>
        <w:t>único</w:t>
      </w:r>
      <w:r w:rsidRPr="00077E5F">
        <w:rPr>
          <w:rFonts w:ascii="Courier New" w:hAnsi="Courier New" w:cs="Courier New"/>
          <w:b/>
          <w:sz w:val="24"/>
          <w:szCs w:val="24"/>
          <w:lang w:val="es-ES_tradnl"/>
        </w:rPr>
        <w:t>.</w:t>
      </w:r>
      <w:r w:rsidR="0066271D">
        <w:rPr>
          <w:rFonts w:ascii="Courier New" w:hAnsi="Courier New" w:cs="Courier New"/>
          <w:b/>
          <w:sz w:val="24"/>
          <w:szCs w:val="24"/>
          <w:lang w:val="es-ES_tradnl"/>
        </w:rPr>
        <w:t>-</w:t>
      </w:r>
      <w:r w:rsidRPr="00077E5F">
        <w:rPr>
          <w:rFonts w:ascii="Courier New" w:hAnsi="Courier New" w:cs="Courier New"/>
          <w:b/>
          <w:sz w:val="24"/>
          <w:szCs w:val="24"/>
          <w:lang w:val="es-ES_tradnl"/>
        </w:rPr>
        <w:tab/>
      </w:r>
      <w:r w:rsidRPr="00077E5F">
        <w:rPr>
          <w:rFonts w:ascii="Courier New" w:hAnsi="Courier New" w:cs="Courier New"/>
          <w:sz w:val="24"/>
          <w:szCs w:val="24"/>
          <w:lang w:val="es-ES_tradnl"/>
        </w:rPr>
        <w:t>Introdúcense</w:t>
      </w:r>
      <w:r w:rsidR="00C42A31" w:rsidRPr="00077E5F">
        <w:rPr>
          <w:rFonts w:ascii="Courier New" w:hAnsi="Courier New" w:cs="Courier New"/>
          <w:sz w:val="24"/>
          <w:szCs w:val="24"/>
          <w:lang w:val="es-ES_tradnl"/>
        </w:rPr>
        <w:t xml:space="preserve"> </w:t>
      </w:r>
      <w:r w:rsidRPr="00077E5F">
        <w:rPr>
          <w:rFonts w:ascii="Courier New" w:hAnsi="Courier New" w:cs="Courier New"/>
          <w:sz w:val="24"/>
          <w:szCs w:val="24"/>
          <w:lang w:val="es-ES_tradnl"/>
        </w:rPr>
        <w:t xml:space="preserve">las siguientes modificaciones en el decreto con </w:t>
      </w:r>
      <w:r w:rsidRPr="00077E5F">
        <w:rPr>
          <w:rFonts w:ascii="Courier New" w:eastAsia="Times New Roman" w:hAnsi="Courier New" w:cs="Courier New"/>
          <w:sz w:val="24"/>
          <w:szCs w:val="24"/>
          <w:lang w:eastAsia="es-ES"/>
        </w:rPr>
        <w:t>fuerza</w:t>
      </w:r>
      <w:r w:rsidRPr="00077E5F">
        <w:rPr>
          <w:rFonts w:ascii="Courier New" w:hAnsi="Courier New" w:cs="Courier New"/>
          <w:sz w:val="24"/>
          <w:szCs w:val="24"/>
          <w:lang w:val="es-ES_tradnl"/>
        </w:rPr>
        <w:t xml:space="preserve"> de ley N° 4/20.018, de 2006, </w:t>
      </w:r>
      <w:r w:rsidR="004F4987">
        <w:rPr>
          <w:rFonts w:ascii="Courier New" w:hAnsi="Courier New" w:cs="Courier New"/>
          <w:sz w:val="24"/>
          <w:szCs w:val="24"/>
          <w:lang w:val="es-ES_tradnl"/>
        </w:rPr>
        <w:t xml:space="preserve">del Ministerio de Economía, Fomento y Reconstrucción, </w:t>
      </w:r>
      <w:r w:rsidRPr="00077E5F">
        <w:rPr>
          <w:rFonts w:ascii="Courier New" w:hAnsi="Courier New" w:cs="Courier New"/>
          <w:sz w:val="24"/>
          <w:szCs w:val="24"/>
          <w:lang w:val="es-ES_tradnl"/>
        </w:rPr>
        <w:t>que fija texto refundido, coordinado y sistematizado de la Ley General de Servicios Eléctricos:</w:t>
      </w:r>
    </w:p>
    <w:p w:rsidR="00C42A31" w:rsidRPr="00077E5F" w:rsidRDefault="00C42A31" w:rsidP="00220FA4">
      <w:pPr>
        <w:tabs>
          <w:tab w:val="left" w:pos="2268"/>
        </w:tabs>
        <w:spacing w:after="0"/>
        <w:jc w:val="both"/>
        <w:rPr>
          <w:rFonts w:ascii="Courier New" w:hAnsi="Courier New" w:cs="Courier New"/>
          <w:sz w:val="24"/>
          <w:szCs w:val="24"/>
          <w:lang w:val="es-ES_tradnl"/>
        </w:rPr>
      </w:pPr>
    </w:p>
    <w:p w:rsidR="00C42A31" w:rsidRPr="00077E5F" w:rsidRDefault="00C42A31" w:rsidP="00220FA4">
      <w:pPr>
        <w:pStyle w:val="Prrafodelista"/>
        <w:numPr>
          <w:ilvl w:val="0"/>
          <w:numId w:val="10"/>
        </w:numPr>
        <w:tabs>
          <w:tab w:val="left" w:pos="2268"/>
          <w:tab w:val="left" w:pos="3544"/>
        </w:tabs>
        <w:spacing w:after="0"/>
        <w:ind w:left="0" w:firstLine="2835"/>
        <w:jc w:val="both"/>
        <w:rPr>
          <w:rFonts w:ascii="Courier New" w:hAnsi="Courier New" w:cs="Courier New"/>
          <w:sz w:val="24"/>
          <w:szCs w:val="24"/>
          <w:lang w:val="es-ES_tradnl"/>
        </w:rPr>
      </w:pPr>
      <w:r w:rsidRPr="0066271D">
        <w:rPr>
          <w:rFonts w:ascii="Courier New" w:hAnsi="Courier New" w:cs="Courier New"/>
          <w:sz w:val="24"/>
          <w:szCs w:val="24"/>
          <w:lang w:val="es-ES_tradnl"/>
        </w:rPr>
        <w:t>Reemplá</w:t>
      </w:r>
      <w:r w:rsidR="004F4987">
        <w:rPr>
          <w:rFonts w:ascii="Courier New" w:hAnsi="Courier New" w:cs="Courier New"/>
          <w:sz w:val="24"/>
          <w:szCs w:val="24"/>
          <w:lang w:val="es-ES_tradnl"/>
        </w:rPr>
        <w:t>za</w:t>
      </w:r>
      <w:r w:rsidRPr="0066271D">
        <w:rPr>
          <w:rFonts w:ascii="Courier New" w:hAnsi="Courier New" w:cs="Courier New"/>
          <w:sz w:val="24"/>
          <w:szCs w:val="24"/>
          <w:lang w:val="es-ES_tradnl"/>
        </w:rPr>
        <w:t>se</w:t>
      </w:r>
      <w:r w:rsidRPr="00077E5F">
        <w:rPr>
          <w:rFonts w:ascii="Courier New" w:hAnsi="Courier New" w:cs="Courier New"/>
          <w:sz w:val="24"/>
          <w:szCs w:val="24"/>
          <w:lang w:val="es-ES_tradnl"/>
        </w:rPr>
        <w:t>, en el</w:t>
      </w:r>
      <w:r w:rsidRPr="0066271D">
        <w:rPr>
          <w:rFonts w:ascii="Courier New" w:hAnsi="Courier New" w:cs="Courier New"/>
          <w:sz w:val="24"/>
          <w:szCs w:val="24"/>
          <w:lang w:val="es-ES_tradnl"/>
        </w:rPr>
        <w:t xml:space="preserve"> </w:t>
      </w:r>
      <w:r w:rsidR="00573958">
        <w:rPr>
          <w:rFonts w:ascii="Courier New" w:hAnsi="Courier New" w:cs="Courier New"/>
          <w:sz w:val="24"/>
          <w:szCs w:val="24"/>
          <w:lang w:val="es-ES_tradnl"/>
        </w:rPr>
        <w:t>numeral 3 del</w:t>
      </w:r>
      <w:r w:rsidRPr="00077E5F">
        <w:rPr>
          <w:rFonts w:ascii="Courier New" w:hAnsi="Courier New" w:cs="Courier New"/>
          <w:sz w:val="24"/>
          <w:szCs w:val="24"/>
          <w:lang w:val="es-ES_tradnl"/>
        </w:rPr>
        <w:t xml:space="preserve"> artículo 182</w:t>
      </w:r>
      <w:r w:rsidR="00F000D8"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parte final, la expresión “igual al </w:t>
      </w:r>
      <w:r w:rsidR="00F000D8" w:rsidRPr="00077E5F">
        <w:rPr>
          <w:rFonts w:ascii="Courier New" w:hAnsi="Courier New" w:cs="Courier New"/>
          <w:sz w:val="24"/>
          <w:szCs w:val="24"/>
          <w:lang w:val="es-ES_tradnl"/>
        </w:rPr>
        <w:t xml:space="preserve">10% </w:t>
      </w:r>
      <w:r w:rsidRPr="00077E5F">
        <w:rPr>
          <w:rFonts w:ascii="Courier New" w:hAnsi="Courier New" w:cs="Courier New"/>
          <w:sz w:val="24"/>
          <w:szCs w:val="24"/>
          <w:lang w:val="es-ES_tradnl"/>
        </w:rPr>
        <w:t>real anual” por “de acuerdo a lo establecido en el artículo 182</w:t>
      </w:r>
      <w:r w:rsidR="00F000D8"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bis”.</w:t>
      </w:r>
    </w:p>
    <w:p w:rsidR="0066271D" w:rsidRPr="0066271D" w:rsidRDefault="0066271D" w:rsidP="0066271D">
      <w:pPr>
        <w:pStyle w:val="Prrafodelista"/>
        <w:tabs>
          <w:tab w:val="left" w:pos="2268"/>
          <w:tab w:val="left" w:pos="3544"/>
        </w:tabs>
        <w:spacing w:after="0"/>
        <w:ind w:left="2835" w:firstLine="0"/>
        <w:jc w:val="both"/>
        <w:rPr>
          <w:rFonts w:ascii="Courier New" w:hAnsi="Courier New" w:cs="Courier New"/>
          <w:sz w:val="24"/>
          <w:szCs w:val="24"/>
          <w:lang w:val="es-ES_tradnl"/>
        </w:rPr>
      </w:pPr>
    </w:p>
    <w:p w:rsidR="00C8612F" w:rsidRPr="00077E5F" w:rsidRDefault="00C42A31" w:rsidP="00220FA4">
      <w:pPr>
        <w:pStyle w:val="Prrafodelista"/>
        <w:numPr>
          <w:ilvl w:val="0"/>
          <w:numId w:val="10"/>
        </w:numPr>
        <w:tabs>
          <w:tab w:val="left" w:pos="2268"/>
          <w:tab w:val="left" w:pos="3544"/>
        </w:tabs>
        <w:spacing w:after="0"/>
        <w:ind w:left="0" w:firstLine="2835"/>
        <w:jc w:val="both"/>
        <w:rPr>
          <w:rFonts w:ascii="Courier New" w:hAnsi="Courier New" w:cs="Courier New"/>
          <w:sz w:val="24"/>
          <w:szCs w:val="24"/>
          <w:lang w:val="es-ES_tradnl"/>
        </w:rPr>
      </w:pPr>
      <w:r w:rsidRPr="00077E5F">
        <w:rPr>
          <w:rFonts w:ascii="Courier New" w:hAnsi="Courier New" w:cs="Courier New"/>
          <w:sz w:val="24"/>
          <w:szCs w:val="24"/>
          <w:lang w:val="es-ES_tradnl"/>
        </w:rPr>
        <w:t>Incorp</w:t>
      </w:r>
      <w:r w:rsidR="00B40741" w:rsidRPr="00077E5F">
        <w:rPr>
          <w:rFonts w:ascii="Courier New" w:hAnsi="Courier New" w:cs="Courier New"/>
          <w:sz w:val="24"/>
          <w:szCs w:val="24"/>
          <w:lang w:val="es-ES_tradnl"/>
        </w:rPr>
        <w:t>ó</w:t>
      </w:r>
      <w:r w:rsidRPr="00077E5F">
        <w:rPr>
          <w:rFonts w:ascii="Courier New" w:hAnsi="Courier New" w:cs="Courier New"/>
          <w:sz w:val="24"/>
          <w:szCs w:val="24"/>
          <w:lang w:val="es-ES_tradnl"/>
        </w:rPr>
        <w:t>rase un artículo 182</w:t>
      </w:r>
      <w:r w:rsidR="00B40741"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bis, nuevo, del siguiente tenor:</w:t>
      </w:r>
    </w:p>
    <w:p w:rsidR="0066271D" w:rsidRPr="00077E5F" w:rsidRDefault="0066271D" w:rsidP="0066271D">
      <w:pPr>
        <w:spacing w:after="0"/>
        <w:jc w:val="both"/>
        <w:rPr>
          <w:rFonts w:ascii="Courier New" w:hAnsi="Courier New" w:cs="Courier New"/>
          <w:sz w:val="24"/>
          <w:szCs w:val="24"/>
          <w:lang w:val="es-ES_tradnl"/>
        </w:rPr>
      </w:pPr>
    </w:p>
    <w:p w:rsidR="00310A0A" w:rsidRPr="00077E5F" w:rsidRDefault="00C42A31" w:rsidP="00220FA4">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“Artículo 182</w:t>
      </w:r>
      <w:r w:rsidR="00B40741"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bis</w:t>
      </w:r>
      <w:r w:rsidR="00B40741" w:rsidRPr="00077E5F">
        <w:rPr>
          <w:rFonts w:ascii="Courier New" w:hAnsi="Courier New" w:cs="Courier New"/>
          <w:sz w:val="24"/>
          <w:szCs w:val="24"/>
          <w:lang w:val="es-ES_tradnl"/>
        </w:rPr>
        <w:t>.</w:t>
      </w:r>
      <w:r w:rsidR="004B46FA"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w:t>
      </w:r>
      <w:r w:rsidR="00310A0A" w:rsidRPr="00077E5F">
        <w:rPr>
          <w:rFonts w:ascii="Courier New" w:hAnsi="Courier New" w:cs="Courier New"/>
          <w:sz w:val="24"/>
          <w:szCs w:val="24"/>
          <w:lang w:val="es-ES_tradnl"/>
        </w:rPr>
        <w:t xml:space="preserve">La tasa de </w:t>
      </w:r>
      <w:r w:rsidR="006F15C2">
        <w:rPr>
          <w:rFonts w:ascii="Courier New" w:hAnsi="Courier New" w:cs="Courier New"/>
          <w:sz w:val="24"/>
          <w:szCs w:val="24"/>
          <w:lang w:val="es-ES_tradnl"/>
        </w:rPr>
        <w:t>actualización</w:t>
      </w:r>
      <w:r w:rsidR="006F15C2" w:rsidRPr="00077E5F">
        <w:rPr>
          <w:rFonts w:ascii="Courier New" w:hAnsi="Courier New" w:cs="Courier New"/>
          <w:sz w:val="24"/>
          <w:szCs w:val="24"/>
          <w:lang w:val="es-ES_tradnl"/>
        </w:rPr>
        <w:t xml:space="preserve"> </w:t>
      </w:r>
      <w:r w:rsidR="00310A0A" w:rsidRPr="00077E5F">
        <w:rPr>
          <w:rFonts w:ascii="Courier New" w:hAnsi="Courier New" w:cs="Courier New"/>
          <w:sz w:val="24"/>
          <w:szCs w:val="24"/>
          <w:lang w:val="es-ES_tradnl"/>
        </w:rPr>
        <w:t xml:space="preserve">que deberá utilizarse para determinar los costos anuales de inversión de las instalaciones de distribución será calculada por la Comisión cada cuatro años </w:t>
      </w:r>
      <w:r w:rsidR="00310A0A" w:rsidRPr="00077E5F">
        <w:rPr>
          <w:rFonts w:ascii="Courier New" w:hAnsi="Courier New" w:cs="Courier New"/>
          <w:sz w:val="24"/>
          <w:szCs w:val="24"/>
          <w:lang w:val="es-ES_tradnl"/>
        </w:rPr>
        <w:lastRenderedPageBreak/>
        <w:t xml:space="preserve">de acuerdo al procedimiento señalado en el presente artículo. Esta tasa será aplicable después de impuestos, y para su determinación se deberá considerar el riesgo sistemático de las actividades propias de las empresas concesionarias de distribución eléctrica en relación al mercado, la tasa de rentabilidad libre de riesgo, y el premio por riesgo de mercado. En todo caso la tasa de </w:t>
      </w:r>
      <w:r w:rsidR="006F15C2">
        <w:rPr>
          <w:rFonts w:ascii="Courier New" w:hAnsi="Courier New" w:cs="Courier New"/>
          <w:sz w:val="24"/>
          <w:szCs w:val="24"/>
          <w:lang w:val="es-ES_tradnl"/>
        </w:rPr>
        <w:t>actualización</w:t>
      </w:r>
      <w:r w:rsidR="006F15C2" w:rsidRPr="00077E5F">
        <w:rPr>
          <w:rFonts w:ascii="Courier New" w:hAnsi="Courier New" w:cs="Courier New"/>
          <w:sz w:val="24"/>
          <w:szCs w:val="24"/>
          <w:lang w:val="es-ES_tradnl"/>
        </w:rPr>
        <w:t xml:space="preserve"> </w:t>
      </w:r>
      <w:r w:rsidR="00310A0A" w:rsidRPr="00077E5F">
        <w:rPr>
          <w:rFonts w:ascii="Courier New" w:hAnsi="Courier New" w:cs="Courier New"/>
          <w:sz w:val="24"/>
          <w:szCs w:val="24"/>
          <w:lang w:val="es-ES_tradnl"/>
        </w:rPr>
        <w:t>no podrá ser inferior al seis por ciento.</w:t>
      </w:r>
    </w:p>
    <w:p w:rsidR="0066271D" w:rsidRPr="00077E5F" w:rsidRDefault="0066271D" w:rsidP="0066271D">
      <w:pPr>
        <w:spacing w:after="0"/>
        <w:ind w:firstLine="3544"/>
        <w:jc w:val="both"/>
        <w:rPr>
          <w:rFonts w:ascii="Courier New" w:hAnsi="Courier New" w:cs="Courier New"/>
          <w:sz w:val="24"/>
          <w:szCs w:val="24"/>
          <w:lang w:val="es-ES_tradnl"/>
        </w:rPr>
      </w:pPr>
    </w:p>
    <w:p w:rsidR="00310A0A"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El riesgo sistemático señalado, se define como un valor que mide o estima la variación en los ingresos de una empresa modelo eficiente de distribución eléctrica con respecto a las fluctuaciones del mercado.</w:t>
      </w:r>
    </w:p>
    <w:p w:rsidR="0066271D" w:rsidRPr="00077E5F" w:rsidRDefault="0066271D" w:rsidP="0066271D">
      <w:pPr>
        <w:spacing w:after="0"/>
        <w:ind w:firstLine="3544"/>
        <w:jc w:val="both"/>
        <w:rPr>
          <w:rFonts w:ascii="Courier New" w:hAnsi="Courier New" w:cs="Courier New"/>
          <w:sz w:val="24"/>
          <w:szCs w:val="24"/>
          <w:lang w:val="es-ES_tradnl"/>
        </w:rPr>
      </w:pPr>
    </w:p>
    <w:p w:rsidR="00310A0A"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La tasa de rentabilidad libre de riesgo corresponderá a la tasa interna de retorno promedio ofrecida por el Banco Central de Chile o la Tesorería General de la República para un instrumento reajustable en moneda nacional. El tipo de instrumento deberá considerar las características de liquidez, estabilidad y montos transados en el mercado secundario de cada instrumento en los últimos dos años a partir de la fecha de referencia del cálculo de la tasa de </w:t>
      </w:r>
      <w:r w:rsidR="006F15C2">
        <w:rPr>
          <w:rFonts w:ascii="Courier New" w:hAnsi="Courier New" w:cs="Courier New"/>
          <w:sz w:val="24"/>
          <w:szCs w:val="24"/>
          <w:lang w:val="es-ES_tradnl"/>
        </w:rPr>
        <w:t>actualización</w:t>
      </w:r>
      <w:r w:rsidRPr="00077E5F">
        <w:rPr>
          <w:rFonts w:ascii="Courier New" w:hAnsi="Courier New" w:cs="Courier New"/>
          <w:sz w:val="24"/>
          <w:szCs w:val="24"/>
          <w:lang w:val="es-ES_tradnl"/>
        </w:rPr>
        <w:t xml:space="preserve">, y su plazo no deberá ser inferior a cinco años. El período considerado para establecer el retorno promedio corresponderá a un mes y corresponderá al mes calendario de la fecha de referencia del cálculo de la tasa de </w:t>
      </w:r>
      <w:r w:rsidR="006F15C2">
        <w:rPr>
          <w:rFonts w:ascii="Courier New" w:hAnsi="Courier New" w:cs="Courier New"/>
          <w:sz w:val="24"/>
          <w:szCs w:val="24"/>
          <w:lang w:val="es-ES_tradnl"/>
        </w:rPr>
        <w:t>actualización</w:t>
      </w:r>
      <w:r w:rsidRPr="00077E5F">
        <w:rPr>
          <w:rFonts w:ascii="Courier New" w:hAnsi="Courier New" w:cs="Courier New"/>
          <w:sz w:val="24"/>
          <w:szCs w:val="24"/>
          <w:lang w:val="es-ES_tradnl"/>
        </w:rPr>
        <w:t xml:space="preserve">. </w:t>
      </w:r>
    </w:p>
    <w:p w:rsidR="0066271D" w:rsidRPr="00077E5F" w:rsidRDefault="0066271D" w:rsidP="0066271D">
      <w:pPr>
        <w:spacing w:after="0"/>
        <w:ind w:firstLine="3544"/>
        <w:jc w:val="both"/>
        <w:rPr>
          <w:rFonts w:ascii="Courier New" w:hAnsi="Courier New" w:cs="Courier New"/>
          <w:sz w:val="24"/>
          <w:szCs w:val="24"/>
          <w:lang w:val="es-ES_tradnl"/>
        </w:rPr>
      </w:pPr>
    </w:p>
    <w:p w:rsidR="00310A0A"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El premio por riesgo de mercado se define como la diferencia entre la rentabilidad de la cartera de inversiones de mercado diversificada y la rentabilidad del instrumento libre de riesgo definida en este artículo.</w:t>
      </w:r>
    </w:p>
    <w:p w:rsidR="0066271D" w:rsidRPr="00077E5F" w:rsidRDefault="0066271D" w:rsidP="0066271D">
      <w:pPr>
        <w:spacing w:after="0"/>
        <w:ind w:firstLine="3544"/>
        <w:jc w:val="both"/>
        <w:rPr>
          <w:rFonts w:ascii="Courier New" w:hAnsi="Courier New" w:cs="Courier New"/>
          <w:sz w:val="24"/>
          <w:szCs w:val="24"/>
          <w:lang w:val="es-ES_tradnl"/>
        </w:rPr>
      </w:pPr>
    </w:p>
    <w:p w:rsidR="00310A0A"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La información nacional o internacional que se utilice para el cálculo del valor del riesgo sistemático y del premio por riesgo deberá permitir la obtención de estimaciones confiables desde el punto de vista estadístico.</w:t>
      </w:r>
    </w:p>
    <w:p w:rsidR="0066271D" w:rsidRPr="00077E5F" w:rsidRDefault="0066271D" w:rsidP="0066271D">
      <w:pPr>
        <w:spacing w:after="0"/>
        <w:ind w:firstLine="3544"/>
        <w:jc w:val="both"/>
        <w:rPr>
          <w:rFonts w:ascii="Courier New" w:hAnsi="Courier New" w:cs="Courier New"/>
          <w:sz w:val="24"/>
          <w:szCs w:val="24"/>
          <w:lang w:val="es-ES_tradnl"/>
        </w:rPr>
      </w:pPr>
    </w:p>
    <w:p w:rsidR="00310A0A"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De este modo, la tasa de </w:t>
      </w:r>
      <w:r w:rsidR="006F15C2">
        <w:rPr>
          <w:rFonts w:ascii="Courier New" w:hAnsi="Courier New" w:cs="Courier New"/>
          <w:sz w:val="24"/>
          <w:szCs w:val="24"/>
          <w:lang w:val="es-ES_tradnl"/>
        </w:rPr>
        <w:t>actualización</w:t>
      </w:r>
      <w:r w:rsidR="006F15C2" w:rsidRPr="00077E5F">
        <w:rPr>
          <w:rFonts w:ascii="Courier New" w:hAnsi="Courier New" w:cs="Courier New"/>
          <w:sz w:val="24"/>
          <w:szCs w:val="24"/>
          <w:lang w:val="es-ES_tradnl"/>
        </w:rPr>
        <w:t xml:space="preserve"> </w:t>
      </w:r>
      <w:r w:rsidRPr="00077E5F">
        <w:rPr>
          <w:rFonts w:ascii="Courier New" w:hAnsi="Courier New" w:cs="Courier New"/>
          <w:sz w:val="24"/>
          <w:szCs w:val="24"/>
          <w:lang w:val="es-ES_tradnl"/>
        </w:rPr>
        <w:t>será la tasa de rentabilidad libre de riesgo más el premio por riesgo multiplicado por el valor del riesgo sistemático.</w:t>
      </w:r>
    </w:p>
    <w:p w:rsidR="0066271D" w:rsidRPr="00077E5F" w:rsidRDefault="0066271D" w:rsidP="0066271D">
      <w:pPr>
        <w:spacing w:after="0"/>
        <w:ind w:firstLine="3544"/>
        <w:jc w:val="both"/>
        <w:rPr>
          <w:rFonts w:ascii="Courier New" w:hAnsi="Courier New" w:cs="Courier New"/>
          <w:sz w:val="24"/>
          <w:szCs w:val="24"/>
          <w:lang w:val="es-ES_tradnl"/>
        </w:rPr>
      </w:pPr>
    </w:p>
    <w:p w:rsidR="00310A0A"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Antes de cinco meses del plazo señalado en el artículo 183 bis para comunicar las bases preliminares del estudio de costos, la Comisión deberá </w:t>
      </w:r>
      <w:r w:rsidRPr="00077E5F">
        <w:rPr>
          <w:rFonts w:ascii="Courier New" w:hAnsi="Courier New" w:cs="Courier New"/>
          <w:sz w:val="24"/>
          <w:szCs w:val="24"/>
          <w:lang w:val="es-ES_tradnl"/>
        </w:rPr>
        <w:lastRenderedPageBreak/>
        <w:t xml:space="preserve">licitar un estudio que defina la metodología de cálculo de la tasa de </w:t>
      </w:r>
      <w:r w:rsidR="006F15C2">
        <w:rPr>
          <w:rFonts w:ascii="Courier New" w:hAnsi="Courier New" w:cs="Courier New"/>
          <w:sz w:val="24"/>
          <w:szCs w:val="24"/>
          <w:lang w:val="es-ES_tradnl"/>
        </w:rPr>
        <w:t>actualización</w:t>
      </w:r>
      <w:r w:rsidR="006F15C2" w:rsidRPr="00077E5F">
        <w:rPr>
          <w:rFonts w:ascii="Courier New" w:hAnsi="Courier New" w:cs="Courier New"/>
          <w:sz w:val="24"/>
          <w:szCs w:val="24"/>
          <w:lang w:val="es-ES_tradnl"/>
        </w:rPr>
        <w:t xml:space="preserve"> </w:t>
      </w:r>
      <w:r w:rsidRPr="00077E5F">
        <w:rPr>
          <w:rFonts w:ascii="Courier New" w:hAnsi="Courier New" w:cs="Courier New"/>
          <w:sz w:val="24"/>
          <w:szCs w:val="24"/>
          <w:lang w:val="es-ES_tradnl"/>
        </w:rPr>
        <w:t>y los valores de sus componentes, conforme a lo señalado en el presente artículo.</w:t>
      </w:r>
    </w:p>
    <w:p w:rsidR="0066271D" w:rsidRPr="00077E5F" w:rsidRDefault="0066271D" w:rsidP="0066271D">
      <w:pPr>
        <w:spacing w:after="0"/>
        <w:ind w:firstLine="3544"/>
        <w:jc w:val="both"/>
        <w:rPr>
          <w:rFonts w:ascii="Courier New" w:hAnsi="Courier New" w:cs="Courier New"/>
          <w:sz w:val="24"/>
          <w:szCs w:val="24"/>
          <w:lang w:val="es-ES_tradnl"/>
        </w:rPr>
      </w:pPr>
    </w:p>
    <w:p w:rsidR="00C42A31" w:rsidRPr="00077E5F" w:rsidRDefault="00310A0A" w:rsidP="00B70A1B">
      <w:pPr>
        <w:spacing w:after="0"/>
        <w:ind w:firstLine="3544"/>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Finalizado dicho estudio, la Comisión emitirá un informe técnico con la tasa de </w:t>
      </w:r>
      <w:r w:rsidR="006F15C2">
        <w:rPr>
          <w:rFonts w:ascii="Courier New" w:hAnsi="Courier New" w:cs="Courier New"/>
          <w:sz w:val="24"/>
          <w:szCs w:val="24"/>
          <w:lang w:val="es-ES_tradnl"/>
        </w:rPr>
        <w:t>actualización</w:t>
      </w:r>
      <w:r w:rsidRPr="00077E5F">
        <w:rPr>
          <w:rFonts w:ascii="Courier New" w:hAnsi="Courier New" w:cs="Courier New"/>
          <w:sz w:val="24"/>
          <w:szCs w:val="24"/>
          <w:lang w:val="es-ES_tradnl"/>
        </w:rPr>
        <w:t>, cuyo valor deberá ser incorporado en las bases preliminares a que se refiere el artículo 183° bis, para efectos de ser observado por los participantes y las empresas concesionarias de distribución eléctrica, y sometido al dictamen del Panel en caso de discrepancias, con ocasión de dicho proceso. El informe técnico señalado precedentemente deberá acompañarse como antecedente en las bases preliminares señaladas</w:t>
      </w:r>
      <w:r w:rsidR="00C42A31" w:rsidRPr="00077E5F">
        <w:rPr>
          <w:rFonts w:ascii="Courier New" w:hAnsi="Courier New" w:cs="Courier New"/>
          <w:sz w:val="24"/>
          <w:szCs w:val="24"/>
          <w:lang w:val="es-ES_tradnl"/>
        </w:rPr>
        <w:t>.”</w:t>
      </w:r>
      <w:r w:rsidR="0066271D">
        <w:rPr>
          <w:rFonts w:ascii="Courier New" w:hAnsi="Courier New" w:cs="Courier New"/>
          <w:sz w:val="24"/>
          <w:szCs w:val="24"/>
          <w:lang w:val="es-ES_tradnl"/>
        </w:rPr>
        <w:t>.</w:t>
      </w:r>
    </w:p>
    <w:p w:rsidR="0066271D" w:rsidRPr="00077E5F" w:rsidRDefault="0066271D" w:rsidP="0066271D">
      <w:pPr>
        <w:spacing w:after="0"/>
        <w:ind w:firstLine="3544"/>
        <w:jc w:val="both"/>
        <w:rPr>
          <w:rFonts w:ascii="Courier New" w:hAnsi="Courier New" w:cs="Courier New"/>
          <w:sz w:val="24"/>
          <w:szCs w:val="24"/>
          <w:lang w:val="es-ES_tradnl"/>
        </w:rPr>
      </w:pPr>
    </w:p>
    <w:p w:rsidR="00C42A31" w:rsidRPr="00077E5F" w:rsidRDefault="0066271D" w:rsidP="00B70A1B">
      <w:pPr>
        <w:pStyle w:val="Prrafodelista"/>
        <w:numPr>
          <w:ilvl w:val="0"/>
          <w:numId w:val="10"/>
        </w:numPr>
        <w:tabs>
          <w:tab w:val="left" w:pos="2268"/>
          <w:tab w:val="left" w:pos="3544"/>
        </w:tabs>
        <w:spacing w:after="0"/>
        <w:ind w:left="0" w:firstLine="2835"/>
        <w:jc w:val="both"/>
        <w:rPr>
          <w:rFonts w:ascii="Courier New" w:hAnsi="Courier New" w:cs="Courier New"/>
          <w:sz w:val="24"/>
          <w:szCs w:val="24"/>
          <w:lang w:val="es-ES_tradnl"/>
        </w:rPr>
      </w:pPr>
      <w:r>
        <w:rPr>
          <w:rFonts w:ascii="Courier New" w:hAnsi="Courier New" w:cs="Courier New"/>
          <w:sz w:val="24"/>
          <w:szCs w:val="24"/>
          <w:lang w:val="es-ES_tradnl"/>
        </w:rPr>
        <w:t>Reemplá</w:t>
      </w:r>
      <w:r w:rsidR="008108BE" w:rsidRPr="00077E5F">
        <w:rPr>
          <w:rFonts w:ascii="Courier New" w:hAnsi="Courier New" w:cs="Courier New"/>
          <w:sz w:val="24"/>
          <w:szCs w:val="24"/>
          <w:lang w:val="es-ES_tradnl"/>
        </w:rPr>
        <w:t xml:space="preserve">zase el </w:t>
      </w:r>
      <w:r w:rsidR="00C42A31" w:rsidRPr="00077E5F">
        <w:rPr>
          <w:rFonts w:ascii="Courier New" w:hAnsi="Courier New" w:cs="Courier New"/>
          <w:sz w:val="24"/>
          <w:szCs w:val="24"/>
          <w:lang w:val="es-ES_tradnl"/>
        </w:rPr>
        <w:t>artículo 183°,</w:t>
      </w:r>
      <w:r w:rsidR="008108BE" w:rsidRPr="00077E5F">
        <w:rPr>
          <w:rFonts w:ascii="Courier New" w:hAnsi="Courier New" w:cs="Courier New"/>
          <w:sz w:val="24"/>
          <w:szCs w:val="24"/>
          <w:lang w:val="es-ES_tradnl"/>
        </w:rPr>
        <w:t xml:space="preserve"> por el siguiente: </w:t>
      </w:r>
    </w:p>
    <w:p w:rsidR="0066271D" w:rsidRPr="00077E5F" w:rsidRDefault="0066271D" w:rsidP="0066271D">
      <w:pPr>
        <w:pStyle w:val="Prrafodelista"/>
        <w:tabs>
          <w:tab w:val="left" w:pos="2268"/>
          <w:tab w:val="left" w:pos="3544"/>
        </w:tabs>
        <w:spacing w:after="0"/>
        <w:ind w:left="2835" w:firstLine="0"/>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“Artículo 183°.- Las componentes indicadas en el artículo anterior se calcularán para un determinado número de áreas </w:t>
      </w:r>
      <w:r w:rsidR="00573958">
        <w:rPr>
          <w:rFonts w:ascii="Courier New" w:hAnsi="Courier New" w:cs="Courier New"/>
          <w:sz w:val="24"/>
          <w:szCs w:val="24"/>
          <w:lang w:val="es-ES_tradnl"/>
        </w:rPr>
        <w:t xml:space="preserve">típicas </w:t>
      </w:r>
      <w:r w:rsidRPr="00077E5F">
        <w:rPr>
          <w:rFonts w:ascii="Courier New" w:hAnsi="Courier New" w:cs="Courier New"/>
          <w:sz w:val="24"/>
          <w:szCs w:val="24"/>
          <w:lang w:val="es-ES_tradnl"/>
        </w:rPr>
        <w:t xml:space="preserve">de distribución, que serán fijadas por la Comisión dentro de los </w:t>
      </w:r>
      <w:r w:rsidR="00577814">
        <w:rPr>
          <w:rFonts w:ascii="Courier New" w:hAnsi="Courier New" w:cs="Courier New"/>
          <w:sz w:val="24"/>
          <w:szCs w:val="24"/>
          <w:lang w:val="es-ES_tradnl"/>
        </w:rPr>
        <w:t>treinta</w:t>
      </w:r>
      <w:r w:rsidRPr="00077E5F">
        <w:rPr>
          <w:rFonts w:ascii="Courier New" w:hAnsi="Courier New" w:cs="Courier New"/>
          <w:sz w:val="24"/>
          <w:szCs w:val="24"/>
          <w:lang w:val="es-ES_tradnl"/>
        </w:rPr>
        <w:t xml:space="preserve"> meses previos al término de vigencia de las fórmulas de tarifas, oyendo previamente a las empresas. Las componentes para cada área típica </w:t>
      </w:r>
      <w:r w:rsidR="00573958">
        <w:rPr>
          <w:rFonts w:ascii="Courier New" w:hAnsi="Courier New" w:cs="Courier New"/>
          <w:sz w:val="24"/>
          <w:szCs w:val="24"/>
          <w:lang w:val="es-ES_tradnl"/>
        </w:rPr>
        <w:t xml:space="preserve">de distribución </w:t>
      </w:r>
      <w:r w:rsidRPr="00077E5F">
        <w:rPr>
          <w:rFonts w:ascii="Courier New" w:hAnsi="Courier New" w:cs="Courier New"/>
          <w:sz w:val="24"/>
          <w:szCs w:val="24"/>
          <w:lang w:val="es-ES_tradnl"/>
        </w:rPr>
        <w:t>se calcularán sobre la base de un estudio de costos encargado a una empresa consultora por la Comisión</w:t>
      </w:r>
      <w:r w:rsidR="006F15C2">
        <w:rPr>
          <w:rFonts w:ascii="Courier New" w:hAnsi="Courier New" w:cs="Courier New"/>
          <w:sz w:val="24"/>
          <w:szCs w:val="24"/>
          <w:lang w:val="es-ES_tradnl"/>
        </w:rPr>
        <w:t xml:space="preserve"> </w:t>
      </w:r>
      <w:r w:rsidR="006F15C2" w:rsidRPr="006F15C2">
        <w:rPr>
          <w:rFonts w:ascii="Courier New" w:hAnsi="Courier New" w:cs="Courier New"/>
          <w:sz w:val="24"/>
          <w:szCs w:val="24"/>
          <w:lang w:val="es-ES_tradnl"/>
        </w:rPr>
        <w:t>conforme a lo dispuesto en el artículo siguiente</w:t>
      </w:r>
      <w:r w:rsidRPr="00077E5F">
        <w:rPr>
          <w:rFonts w:ascii="Courier New" w:hAnsi="Courier New" w:cs="Courier New"/>
          <w:sz w:val="24"/>
          <w:szCs w:val="24"/>
          <w:lang w:val="es-ES_tradnl"/>
        </w:rPr>
        <w:t>. Dicho estudio de costos se basará en un supuesto de eficiencia en la política de inversiones y en la gestión de una empresa distribuidora operando en el país y su elaboración se sujetará al procedimiento dispuesto en el artículo siguiente y el reglamento.”</w:t>
      </w:r>
      <w:r w:rsidR="0066271D">
        <w:rPr>
          <w:rFonts w:ascii="Courier New" w:hAnsi="Courier New" w:cs="Courier New"/>
          <w:sz w:val="24"/>
          <w:szCs w:val="24"/>
          <w:lang w:val="es-ES_tradnl"/>
        </w:rPr>
        <w:t>.</w:t>
      </w:r>
    </w:p>
    <w:p w:rsidR="0066271D" w:rsidRPr="00077E5F" w:rsidRDefault="0066271D" w:rsidP="0066271D">
      <w:pPr>
        <w:spacing w:after="0"/>
        <w:ind w:firstLine="3402"/>
        <w:jc w:val="both"/>
        <w:rPr>
          <w:rFonts w:ascii="Courier New" w:hAnsi="Courier New" w:cs="Courier New"/>
          <w:sz w:val="24"/>
          <w:szCs w:val="24"/>
          <w:lang w:val="es-ES_tradnl"/>
        </w:rPr>
      </w:pPr>
    </w:p>
    <w:p w:rsidR="0066271D" w:rsidRPr="00C865D1" w:rsidRDefault="008108BE" w:rsidP="00C865D1">
      <w:pPr>
        <w:pStyle w:val="Prrafodelista"/>
        <w:numPr>
          <w:ilvl w:val="0"/>
          <w:numId w:val="10"/>
        </w:numPr>
        <w:tabs>
          <w:tab w:val="left" w:pos="2268"/>
          <w:tab w:val="left" w:pos="3544"/>
        </w:tabs>
        <w:spacing w:after="120"/>
        <w:ind w:left="0" w:firstLine="2835"/>
        <w:jc w:val="both"/>
        <w:rPr>
          <w:rFonts w:ascii="Courier New" w:hAnsi="Courier New" w:cs="Courier New"/>
          <w:sz w:val="24"/>
          <w:szCs w:val="24"/>
          <w:lang w:val="es-ES_tradnl"/>
        </w:rPr>
      </w:pPr>
      <w:r w:rsidRPr="00077E5F">
        <w:rPr>
          <w:rFonts w:ascii="Courier New" w:hAnsi="Courier New" w:cs="Courier New"/>
          <w:sz w:val="24"/>
          <w:szCs w:val="24"/>
          <w:lang w:val="es-ES_tradnl"/>
        </w:rPr>
        <w:t>Incorpórase un artículo 183° bis, nuevo, del siguiente tenor:</w:t>
      </w:r>
    </w:p>
    <w:p w:rsidR="00036F7F" w:rsidRPr="00077E5F" w:rsidRDefault="008108BE" w:rsidP="00C865D1">
      <w:pPr>
        <w:spacing w:after="12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“Artículo 183</w:t>
      </w:r>
      <w:r w:rsidR="00E73260">
        <w:rPr>
          <w:rFonts w:ascii="Courier New" w:hAnsi="Courier New" w:cs="Courier New"/>
          <w:sz w:val="24"/>
          <w:szCs w:val="24"/>
          <w:lang w:val="es-ES_tradnl"/>
        </w:rPr>
        <w:t xml:space="preserve">° </w:t>
      </w:r>
      <w:r w:rsidRPr="00077E5F">
        <w:rPr>
          <w:rFonts w:ascii="Courier New" w:hAnsi="Courier New" w:cs="Courier New"/>
          <w:sz w:val="24"/>
          <w:szCs w:val="24"/>
          <w:lang w:val="es-ES_tradnl"/>
        </w:rPr>
        <w:t>bis.</w:t>
      </w:r>
      <w:r w:rsidR="00E73260">
        <w:rPr>
          <w:rFonts w:ascii="Courier New" w:hAnsi="Courier New" w:cs="Courier New"/>
          <w:sz w:val="24"/>
          <w:szCs w:val="24"/>
          <w:lang w:val="es-ES_tradnl"/>
        </w:rPr>
        <w:t>-</w:t>
      </w:r>
      <w:bookmarkStart w:id="2" w:name="_GoBack"/>
      <w:bookmarkEnd w:id="2"/>
      <w:r w:rsidRPr="00077E5F">
        <w:rPr>
          <w:rFonts w:ascii="Courier New" w:hAnsi="Courier New" w:cs="Courier New"/>
          <w:sz w:val="24"/>
          <w:szCs w:val="24"/>
          <w:lang w:val="es-ES_tradnl"/>
        </w:rPr>
        <w:t xml:space="preserve"> En un plazo máximo de </w:t>
      </w:r>
      <w:r w:rsidR="00B70A1B">
        <w:rPr>
          <w:rFonts w:ascii="Courier New" w:hAnsi="Courier New" w:cs="Courier New"/>
          <w:sz w:val="24"/>
          <w:szCs w:val="24"/>
          <w:lang w:val="es-ES_tradnl"/>
        </w:rPr>
        <w:t>3</w:t>
      </w:r>
      <w:r w:rsidRPr="00077E5F">
        <w:rPr>
          <w:rFonts w:ascii="Courier New" w:hAnsi="Courier New" w:cs="Courier New"/>
          <w:sz w:val="24"/>
          <w:szCs w:val="24"/>
          <w:lang w:val="es-ES_tradnl"/>
        </w:rPr>
        <w:t xml:space="preserve">0 días contado desde la fijación de las áreas típicas de </w:t>
      </w:r>
      <w:r w:rsidR="00573958">
        <w:rPr>
          <w:rFonts w:ascii="Courier New" w:hAnsi="Courier New" w:cs="Courier New"/>
          <w:sz w:val="24"/>
          <w:szCs w:val="24"/>
          <w:lang w:val="es-ES_tradnl"/>
        </w:rPr>
        <w:t xml:space="preserve">distribución </w:t>
      </w:r>
      <w:r w:rsidRPr="00077E5F">
        <w:rPr>
          <w:rFonts w:ascii="Courier New" w:hAnsi="Courier New" w:cs="Courier New"/>
          <w:sz w:val="24"/>
          <w:szCs w:val="24"/>
          <w:lang w:val="es-ES_tradnl"/>
        </w:rPr>
        <w:t xml:space="preserve">de acuerdo con lo indicado en el artículo precedente, la Comisión abrirá, por un plazo de un mes, un proceso de registro de participación ciudadana, en el que podrá inscribirse toda persona natural o jurídica con interés en participar en el proceso, en adelante “participantes”, quienes tendrán acceso a los antecedentes y resultados del estudio de costos, de acuerdo con las normas de esta ley. </w:t>
      </w:r>
    </w:p>
    <w:p w:rsidR="00A11A87"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lastRenderedPageBreak/>
        <w:t xml:space="preserve">Para efectos de lo señalado en el inciso anterior, la Comisión comunicará en </w:t>
      </w:r>
      <w:r w:rsidR="00573958">
        <w:rPr>
          <w:rFonts w:ascii="Courier New" w:hAnsi="Courier New" w:cs="Courier New"/>
          <w:sz w:val="24"/>
          <w:szCs w:val="24"/>
          <w:lang w:val="es-ES_tradnl"/>
        </w:rPr>
        <w:t xml:space="preserve">su página web y </w:t>
      </w:r>
      <w:r w:rsidRPr="00077E5F">
        <w:rPr>
          <w:rFonts w:ascii="Courier New" w:hAnsi="Courier New" w:cs="Courier New"/>
          <w:sz w:val="24"/>
          <w:szCs w:val="24"/>
          <w:lang w:val="es-ES_tradnl"/>
        </w:rPr>
        <w:t>en un medio de amplio acceso el llamado a registro y la información que los participantes deberán presentar.</w:t>
      </w:r>
    </w:p>
    <w:p w:rsidR="00036F7F" w:rsidRPr="00077E5F" w:rsidRDefault="00036F7F" w:rsidP="00036F7F">
      <w:pPr>
        <w:spacing w:after="0"/>
        <w:ind w:firstLine="3402"/>
        <w:jc w:val="both"/>
        <w:rPr>
          <w:rFonts w:ascii="Courier New" w:hAnsi="Courier New" w:cs="Courier New"/>
          <w:sz w:val="24"/>
          <w:szCs w:val="24"/>
          <w:lang w:val="es-ES_tradnl"/>
        </w:rPr>
      </w:pPr>
    </w:p>
    <w:p w:rsidR="00A11A87"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En todo caso, los antecedentes que solicite la Comisión para constituir dicho registro deberán estar destinados a acreditar la representación, el interés y la correcta identificación de cada participante y no podrán representar discriminación de ninguna especie.</w:t>
      </w:r>
    </w:p>
    <w:p w:rsidR="00036F7F" w:rsidRPr="00077E5F" w:rsidRDefault="00036F7F" w:rsidP="00036F7F">
      <w:pPr>
        <w:spacing w:after="0"/>
        <w:ind w:firstLine="3402"/>
        <w:jc w:val="both"/>
        <w:rPr>
          <w:rFonts w:ascii="Courier New" w:hAnsi="Courier New" w:cs="Courier New"/>
          <w:sz w:val="24"/>
          <w:szCs w:val="24"/>
          <w:lang w:val="es-ES_tradnl"/>
        </w:rPr>
      </w:pPr>
    </w:p>
    <w:p w:rsidR="00A11A87"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Los participantes registrados y las empresas concesionarias podrán efectuar observaciones a las bases técnicas y administrativas y al estudio de costos, así como presentar discrepancias ante el Panel, cuando corresponda.</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Las notificaciones y comunicaciones a las empresas concesionarias de distribución y a los participantes podrán efectuarse a través de medios electrónicos, de acuerdo a la información que contenga el registro.</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Los participantes debidamente inscritos en el registro no podrán participar en la elaboración del estudio de costos a que se refiere el artículo</w:t>
      </w:r>
      <w:r w:rsidR="00A64B9E" w:rsidRPr="00077E5F">
        <w:rPr>
          <w:rFonts w:ascii="Courier New" w:hAnsi="Courier New" w:cs="Courier New"/>
          <w:sz w:val="24"/>
          <w:szCs w:val="24"/>
          <w:lang w:val="es-ES_tradnl"/>
        </w:rPr>
        <w:t xml:space="preserve"> precedente</w:t>
      </w:r>
      <w:r w:rsidRPr="00077E5F">
        <w:rPr>
          <w:rFonts w:ascii="Courier New" w:hAnsi="Courier New" w:cs="Courier New"/>
          <w:sz w:val="24"/>
          <w:szCs w:val="24"/>
          <w:lang w:val="es-ES_tradnl"/>
        </w:rPr>
        <w:t>.</w:t>
      </w:r>
    </w:p>
    <w:p w:rsidR="00036F7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En un plazo máximo de </w:t>
      </w:r>
      <w:r w:rsidR="00B6473E" w:rsidRPr="00077E5F">
        <w:rPr>
          <w:rFonts w:ascii="Courier New" w:hAnsi="Courier New" w:cs="Courier New"/>
          <w:sz w:val="24"/>
          <w:szCs w:val="24"/>
          <w:lang w:val="es-ES_tradnl"/>
        </w:rPr>
        <w:t>treinta</w:t>
      </w:r>
      <w:r w:rsidRPr="00077E5F">
        <w:rPr>
          <w:rFonts w:ascii="Courier New" w:hAnsi="Courier New" w:cs="Courier New"/>
          <w:sz w:val="24"/>
          <w:szCs w:val="24"/>
          <w:lang w:val="es-ES_tradnl"/>
        </w:rPr>
        <w:t xml:space="preserve"> días corridos de finalizado el proceso de registro de participantes, la Comisión comunicará, por medios electrónicos, a estos últimos y a las empresas concesionarias de distribución las bases técnicas y administrativas preliminares del estudio de costos.</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Estas bases deberán establecer, a lo menos, los requisitos, antecedentes y la modalidad de presentación de ofertas. Asimismo, deberán contener la metodología de cálculo de cada uno de los parámetros relevantes, así como los criterios para la determinación de los costos de la empresa modelo </w:t>
      </w:r>
      <w:r w:rsidR="00A64B9E" w:rsidRPr="00077E5F">
        <w:rPr>
          <w:rFonts w:ascii="Courier New" w:hAnsi="Courier New" w:cs="Courier New"/>
          <w:sz w:val="24"/>
          <w:szCs w:val="24"/>
          <w:lang w:val="es-ES_tradnl"/>
        </w:rPr>
        <w:t xml:space="preserve">eficiente </w:t>
      </w:r>
      <w:r w:rsidRPr="00077E5F">
        <w:rPr>
          <w:rFonts w:ascii="Courier New" w:hAnsi="Courier New" w:cs="Courier New"/>
          <w:sz w:val="24"/>
          <w:szCs w:val="24"/>
          <w:lang w:val="es-ES_tradnl"/>
        </w:rPr>
        <w:t>y todo otro aspecto que se considere necesario definir en forma previa a la realización del estudio.</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A partir de la fecha de la comunicación de las bases preliminares y dentro del plazo de quince días, los participantes y las empresas concesionarias </w:t>
      </w:r>
      <w:r w:rsidRPr="00077E5F">
        <w:rPr>
          <w:rFonts w:ascii="Courier New" w:hAnsi="Courier New" w:cs="Courier New"/>
          <w:sz w:val="24"/>
          <w:szCs w:val="24"/>
          <w:lang w:val="es-ES_tradnl"/>
        </w:rPr>
        <w:lastRenderedPageBreak/>
        <w:t>de distribución podrán presentar sus observaciones a la Comisión.</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Vencido el plazo anterior y en un término no superior a </w:t>
      </w:r>
      <w:r w:rsidR="00A64B9E" w:rsidRPr="00077E5F">
        <w:rPr>
          <w:rFonts w:ascii="Courier New" w:hAnsi="Courier New" w:cs="Courier New"/>
          <w:sz w:val="24"/>
          <w:szCs w:val="24"/>
          <w:lang w:val="es-ES_tradnl"/>
        </w:rPr>
        <w:t>veinte</w:t>
      </w:r>
      <w:r w:rsidRPr="00077E5F">
        <w:rPr>
          <w:rFonts w:ascii="Courier New" w:hAnsi="Courier New" w:cs="Courier New"/>
          <w:sz w:val="24"/>
          <w:szCs w:val="24"/>
          <w:lang w:val="es-ES_tradnl"/>
        </w:rPr>
        <w:t xml:space="preserve"> días, la Comisión comunicará a los participantes y a las empresas concesionarias de distribución las bases técnicas y administrativas corregidas</w:t>
      </w:r>
      <w:r w:rsidR="00A64B9E"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aceptando o rechazando fundadamente las observaciones planteadas. </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Dentro de los diez días siguientes a la comunicación de las bases corregidas, los participantes y las empresas concesionarias podrán solicitar al Panel que dirima todas o algunas de las observaciones presentadas que no hubiesen sido acogidas por la Comisión o que hubiesen sido acogidas parcialmente, como también, si quien no hubiere formulado observaciones a las bases preliminares considere que se debe mantener su contenido, en caso de haberse modificado éstas. El Panel deberá </w:t>
      </w:r>
      <w:r w:rsidR="00A64B9E" w:rsidRPr="00077E5F">
        <w:rPr>
          <w:rFonts w:ascii="Courier New" w:hAnsi="Courier New" w:cs="Courier New"/>
          <w:sz w:val="24"/>
          <w:szCs w:val="24"/>
          <w:lang w:val="es-ES_tradnl"/>
        </w:rPr>
        <w:t>realizar</w:t>
      </w:r>
      <w:r w:rsidRPr="00077E5F">
        <w:rPr>
          <w:rFonts w:ascii="Courier New" w:hAnsi="Courier New" w:cs="Courier New"/>
          <w:sz w:val="24"/>
          <w:szCs w:val="24"/>
          <w:lang w:val="es-ES_tradnl"/>
        </w:rPr>
        <w:t xml:space="preserve"> una audiencia pública dentro de un plazo máximo de 15 días</w:t>
      </w:r>
      <w:r w:rsidR="00A64B9E" w:rsidRPr="00077E5F">
        <w:rPr>
          <w:rFonts w:ascii="Courier New" w:hAnsi="Courier New" w:cs="Courier New"/>
          <w:sz w:val="24"/>
          <w:szCs w:val="24"/>
          <w:lang w:val="es-ES_tradnl"/>
        </w:rPr>
        <w:t xml:space="preserve"> vencido el plazo para la presentación de las discrepancias y </w:t>
      </w:r>
      <w:r w:rsidRPr="00077E5F">
        <w:rPr>
          <w:rFonts w:ascii="Courier New" w:hAnsi="Courier New" w:cs="Courier New"/>
          <w:sz w:val="24"/>
          <w:szCs w:val="24"/>
          <w:lang w:val="es-ES_tradnl"/>
        </w:rPr>
        <w:t>deberá resolver</w:t>
      </w:r>
      <w:r w:rsidR="00A64B9E" w:rsidRPr="00077E5F">
        <w:rPr>
          <w:rFonts w:ascii="Courier New" w:hAnsi="Courier New" w:cs="Courier New"/>
          <w:sz w:val="24"/>
          <w:szCs w:val="24"/>
          <w:lang w:val="es-ES_tradnl"/>
        </w:rPr>
        <w:t xml:space="preserve">las </w:t>
      </w:r>
      <w:r w:rsidRPr="00077E5F">
        <w:rPr>
          <w:rFonts w:ascii="Courier New" w:hAnsi="Courier New" w:cs="Courier New"/>
          <w:sz w:val="24"/>
          <w:szCs w:val="24"/>
          <w:lang w:val="es-ES_tradnl"/>
        </w:rPr>
        <w:t>dentro de los treinta días siguientes a la audiencia pública</w:t>
      </w:r>
      <w:r w:rsidR="00A64B9E" w:rsidRPr="00077E5F">
        <w:rPr>
          <w:rFonts w:ascii="Courier New" w:hAnsi="Courier New" w:cs="Courier New"/>
          <w:sz w:val="24"/>
          <w:szCs w:val="24"/>
          <w:lang w:val="es-ES_tradnl"/>
        </w:rPr>
        <w:t xml:space="preserve">, de acuerdo a </w:t>
      </w:r>
      <w:r w:rsidRPr="00077E5F">
        <w:rPr>
          <w:rFonts w:ascii="Courier New" w:hAnsi="Courier New" w:cs="Courier New"/>
          <w:sz w:val="24"/>
          <w:szCs w:val="24"/>
          <w:lang w:val="es-ES_tradnl"/>
        </w:rPr>
        <w:t xml:space="preserve">lo señalado en el artículo 211.   </w:t>
      </w:r>
    </w:p>
    <w:p w:rsidR="004A23CD" w:rsidRDefault="004A23CD" w:rsidP="00B70A1B">
      <w:pPr>
        <w:spacing w:after="0"/>
        <w:ind w:firstLine="3402"/>
        <w:jc w:val="both"/>
        <w:rPr>
          <w:rFonts w:ascii="Courier New" w:hAnsi="Courier New" w:cs="Courier New"/>
          <w:sz w:val="24"/>
          <w:szCs w:val="24"/>
          <w:lang w:val="es-ES_tradnl"/>
        </w:rPr>
      </w:pPr>
    </w:p>
    <w:p w:rsidR="008108BE" w:rsidRPr="00077E5F" w:rsidRDefault="00E0295A"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T</w:t>
      </w:r>
      <w:r w:rsidR="008108BE" w:rsidRPr="00077E5F">
        <w:rPr>
          <w:rFonts w:ascii="Courier New" w:hAnsi="Courier New" w:cs="Courier New"/>
          <w:sz w:val="24"/>
          <w:szCs w:val="24"/>
          <w:lang w:val="es-ES_tradnl"/>
        </w:rPr>
        <w:t xml:space="preserve">ranscurrido el plazo para formular discrepancias ante el Panel o una vez resueltas éstas, la Comisión deberá formalizar las bases técnicas y administrativas definitivas dentro de los siguientes </w:t>
      </w:r>
      <w:r w:rsidR="00A64B9E" w:rsidRPr="00077E5F">
        <w:rPr>
          <w:rFonts w:ascii="Courier New" w:hAnsi="Courier New" w:cs="Courier New"/>
          <w:sz w:val="24"/>
          <w:szCs w:val="24"/>
          <w:lang w:val="es-ES_tradnl"/>
        </w:rPr>
        <w:t>quince</w:t>
      </w:r>
      <w:r w:rsidR="008108BE" w:rsidRPr="00077E5F">
        <w:rPr>
          <w:rFonts w:ascii="Courier New" w:hAnsi="Courier New" w:cs="Courier New"/>
          <w:sz w:val="24"/>
          <w:szCs w:val="24"/>
          <w:lang w:val="es-ES_tradnl"/>
        </w:rPr>
        <w:t xml:space="preserve"> días a través de una resolución que se publicará en un medio de amplio acceso y se comunicará a los participantes y a las empresas concesionarias de distribución. </w:t>
      </w:r>
    </w:p>
    <w:p w:rsidR="00036F7F" w:rsidRPr="00077E5F" w:rsidRDefault="00036F7F" w:rsidP="00036F7F">
      <w:pPr>
        <w:spacing w:after="0"/>
        <w:ind w:firstLine="3402"/>
        <w:jc w:val="both"/>
        <w:rPr>
          <w:rFonts w:ascii="Courier New" w:hAnsi="Courier New" w:cs="Courier New"/>
          <w:sz w:val="24"/>
          <w:szCs w:val="24"/>
          <w:lang w:val="es-ES_tradnl"/>
        </w:rPr>
      </w:pPr>
    </w:p>
    <w:p w:rsidR="00E0295A"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El estudio de costos será licitado en conformidad a las normas de compras públicas y adjudicado en conformidad a las bases técnicas y administrativas antes referidas, siendo ejecutado y supervisado por un comité integrado por representantes de las empresas concesionarias de distribución de acuerdo a los procedimientos y criterios que determine </w:t>
      </w:r>
      <w:r w:rsidR="00B36B60" w:rsidRPr="00077E5F">
        <w:rPr>
          <w:rFonts w:ascii="Courier New" w:hAnsi="Courier New" w:cs="Courier New"/>
          <w:sz w:val="24"/>
          <w:szCs w:val="24"/>
          <w:lang w:val="es-ES_tradnl"/>
        </w:rPr>
        <w:t>la Comisión</w:t>
      </w:r>
      <w:r w:rsidRPr="00077E5F">
        <w:rPr>
          <w:rFonts w:ascii="Courier New" w:hAnsi="Courier New" w:cs="Courier New"/>
          <w:sz w:val="24"/>
          <w:szCs w:val="24"/>
          <w:lang w:val="es-ES_tradnl"/>
        </w:rPr>
        <w:t xml:space="preserve">, los que deberán asegurar una representación equitativa, </w:t>
      </w:r>
      <w:r w:rsidR="000727C7" w:rsidRPr="00077E5F">
        <w:rPr>
          <w:rFonts w:ascii="Courier New" w:hAnsi="Courier New" w:cs="Courier New"/>
          <w:sz w:val="24"/>
          <w:szCs w:val="24"/>
          <w:lang w:val="es-ES_tradnl"/>
        </w:rPr>
        <w:t>dos</w:t>
      </w:r>
      <w:r w:rsidRPr="00077E5F">
        <w:rPr>
          <w:rFonts w:ascii="Courier New" w:hAnsi="Courier New" w:cs="Courier New"/>
          <w:sz w:val="24"/>
          <w:szCs w:val="24"/>
          <w:lang w:val="es-ES_tradnl"/>
        </w:rPr>
        <w:t xml:space="preserve"> </w:t>
      </w:r>
      <w:r w:rsidR="00573958">
        <w:rPr>
          <w:rFonts w:ascii="Courier New" w:hAnsi="Courier New" w:cs="Courier New"/>
          <w:sz w:val="24"/>
          <w:szCs w:val="24"/>
          <w:lang w:val="es-ES_tradnl"/>
        </w:rPr>
        <w:t xml:space="preserve">representantes </w:t>
      </w:r>
      <w:r w:rsidRPr="00077E5F">
        <w:rPr>
          <w:rFonts w:ascii="Courier New" w:hAnsi="Courier New" w:cs="Courier New"/>
          <w:sz w:val="24"/>
          <w:szCs w:val="24"/>
          <w:lang w:val="es-ES_tradnl"/>
        </w:rPr>
        <w:t xml:space="preserve">del Ministerio y </w:t>
      </w:r>
      <w:r w:rsidR="000727C7" w:rsidRPr="00077E5F">
        <w:rPr>
          <w:rFonts w:ascii="Courier New" w:hAnsi="Courier New" w:cs="Courier New"/>
          <w:sz w:val="24"/>
          <w:szCs w:val="24"/>
          <w:lang w:val="es-ES_tradnl"/>
        </w:rPr>
        <w:t>dos</w:t>
      </w:r>
      <w:r w:rsidRPr="00077E5F">
        <w:rPr>
          <w:rFonts w:ascii="Courier New" w:hAnsi="Courier New" w:cs="Courier New"/>
          <w:sz w:val="24"/>
          <w:szCs w:val="24"/>
          <w:lang w:val="es-ES_tradnl"/>
        </w:rPr>
        <w:t xml:space="preserve"> </w:t>
      </w:r>
      <w:r w:rsidR="00573958">
        <w:rPr>
          <w:rFonts w:ascii="Courier New" w:hAnsi="Courier New" w:cs="Courier New"/>
          <w:sz w:val="24"/>
          <w:szCs w:val="24"/>
          <w:lang w:val="es-ES_tradnl"/>
        </w:rPr>
        <w:t xml:space="preserve">representantes </w:t>
      </w:r>
      <w:r w:rsidRPr="00077E5F">
        <w:rPr>
          <w:rFonts w:ascii="Courier New" w:hAnsi="Courier New" w:cs="Courier New"/>
          <w:sz w:val="24"/>
          <w:szCs w:val="24"/>
          <w:lang w:val="es-ES_tradnl"/>
        </w:rPr>
        <w:t>de la Comisión</w:t>
      </w:r>
      <w:r w:rsidR="000727C7" w:rsidRPr="00077E5F">
        <w:rPr>
          <w:rFonts w:ascii="Courier New" w:hAnsi="Courier New" w:cs="Courier New"/>
          <w:sz w:val="24"/>
          <w:szCs w:val="24"/>
          <w:lang w:val="es-ES_tradnl"/>
        </w:rPr>
        <w:t xml:space="preserve">, uno de los cuales </w:t>
      </w:r>
      <w:r w:rsidRPr="00077E5F">
        <w:rPr>
          <w:rFonts w:ascii="Courier New" w:hAnsi="Courier New" w:cs="Courier New"/>
          <w:sz w:val="24"/>
          <w:szCs w:val="24"/>
          <w:lang w:val="es-ES_tradnl"/>
        </w:rPr>
        <w:t>presidirá el referido comité. El llamado a licitación, la adjudicación y firma del contrato lo realizará la Comisión.</w:t>
      </w:r>
    </w:p>
    <w:p w:rsidR="00036F7F" w:rsidRPr="00077E5F" w:rsidRDefault="00036F7F" w:rsidP="00036F7F">
      <w:pPr>
        <w:spacing w:after="0"/>
        <w:ind w:firstLine="3402"/>
        <w:jc w:val="both"/>
        <w:rPr>
          <w:rFonts w:ascii="Courier New" w:hAnsi="Courier New" w:cs="Courier New"/>
          <w:sz w:val="24"/>
          <w:szCs w:val="24"/>
          <w:lang w:val="es-ES_tradnl"/>
        </w:rPr>
      </w:pPr>
    </w:p>
    <w:p w:rsidR="00E0295A" w:rsidRPr="00077E5F" w:rsidRDefault="005F19A4"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lastRenderedPageBreak/>
        <w:t>L</w:t>
      </w:r>
      <w:r w:rsidR="008108BE" w:rsidRPr="00077E5F">
        <w:rPr>
          <w:rFonts w:ascii="Courier New" w:hAnsi="Courier New" w:cs="Courier New"/>
          <w:sz w:val="24"/>
          <w:szCs w:val="24"/>
          <w:lang w:val="es-ES_tradnl"/>
        </w:rPr>
        <w:t>a Comisión establecerá el procedimiento para la constitución y funcionamiento de este comité.</w:t>
      </w:r>
    </w:p>
    <w:p w:rsidR="00FA76D5"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El estudio de costos será financiado íntegramente por la Comisión</w:t>
      </w:r>
      <w:r w:rsidR="002A171F" w:rsidRPr="00077E5F">
        <w:rPr>
          <w:rFonts w:ascii="Courier New" w:hAnsi="Courier New" w:cs="Courier New"/>
          <w:sz w:val="24"/>
          <w:szCs w:val="24"/>
          <w:lang w:val="es-ES_tradnl"/>
        </w:rPr>
        <w:t xml:space="preserve"> y deberá ejecutarse dentro de un plazo máximo de ocho meses a partir de la adjudicación</w:t>
      </w:r>
      <w:r w:rsidRPr="00077E5F">
        <w:rPr>
          <w:rFonts w:ascii="Courier New" w:hAnsi="Courier New" w:cs="Courier New"/>
          <w:sz w:val="24"/>
          <w:szCs w:val="24"/>
          <w:lang w:val="es-ES_tradnl"/>
        </w:rPr>
        <w:t xml:space="preserve">. </w:t>
      </w:r>
    </w:p>
    <w:p w:rsidR="00036F7F" w:rsidRPr="00077E5F" w:rsidRDefault="00036F7F" w:rsidP="00036F7F">
      <w:pPr>
        <w:spacing w:after="0"/>
        <w:ind w:firstLine="3402"/>
        <w:jc w:val="both"/>
        <w:rPr>
          <w:rFonts w:ascii="Courier New" w:hAnsi="Courier New" w:cs="Courier New"/>
          <w:sz w:val="24"/>
          <w:szCs w:val="24"/>
          <w:lang w:val="es-ES_tradnl"/>
        </w:rPr>
      </w:pPr>
    </w:p>
    <w:p w:rsidR="00E0295A"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El consultor al que se adjudique el estudio deberá prestar el apoyo que sea necesario a la Comisión hasta la dictación del correspondiente decreto tarifario.</w:t>
      </w:r>
    </w:p>
    <w:p w:rsidR="004A23CD" w:rsidRPr="00077E5F" w:rsidRDefault="004A23CD" w:rsidP="00B70A1B">
      <w:pPr>
        <w:spacing w:after="0"/>
        <w:ind w:firstLine="3402"/>
        <w:jc w:val="both"/>
        <w:rPr>
          <w:rFonts w:ascii="Courier New" w:hAnsi="Courier New" w:cs="Courier New"/>
          <w:sz w:val="24"/>
          <w:szCs w:val="24"/>
          <w:lang w:val="es-ES_tradnl"/>
        </w:rPr>
      </w:pPr>
    </w:p>
    <w:p w:rsidR="00E0295A"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Los resultados del estudio de costos deberán especificar, para cada área típica</w:t>
      </w:r>
      <w:r w:rsidR="00573958">
        <w:rPr>
          <w:rFonts w:ascii="Courier New" w:hAnsi="Courier New" w:cs="Courier New"/>
          <w:sz w:val="24"/>
          <w:szCs w:val="24"/>
          <w:lang w:val="es-ES_tradnl"/>
        </w:rPr>
        <w:t xml:space="preserve"> de distribución</w:t>
      </w:r>
      <w:r w:rsidRPr="00077E5F">
        <w:rPr>
          <w:rFonts w:ascii="Courier New" w:hAnsi="Courier New" w:cs="Courier New"/>
          <w:sz w:val="24"/>
          <w:szCs w:val="24"/>
          <w:lang w:val="es-ES_tradnl"/>
        </w:rPr>
        <w:t>, a lo menos, lo señalado en el artículo 182.</w:t>
      </w:r>
    </w:p>
    <w:p w:rsidR="006F15C2" w:rsidRDefault="006F15C2" w:rsidP="00B70A1B">
      <w:pPr>
        <w:spacing w:after="0"/>
        <w:ind w:firstLine="3402"/>
        <w:jc w:val="both"/>
        <w:rPr>
          <w:rFonts w:ascii="Courier New" w:hAnsi="Courier New" w:cs="Courier New"/>
          <w:sz w:val="24"/>
          <w:szCs w:val="24"/>
          <w:lang w:val="es-ES_tradnl"/>
        </w:rPr>
      </w:pPr>
    </w:p>
    <w:p w:rsidR="00E0295A"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La Comisión dispondrá de un plazo de tres meses para revisar, corregir y adecuar los resultados del estudio de costos y notificar, por medios electrónicos, a las empresas concesionarias</w:t>
      </w:r>
      <w:r w:rsidR="002A171F" w:rsidRPr="00077E5F">
        <w:rPr>
          <w:rFonts w:ascii="Courier New" w:hAnsi="Courier New" w:cs="Courier New"/>
          <w:sz w:val="24"/>
          <w:szCs w:val="24"/>
          <w:lang w:val="es-ES_tradnl"/>
        </w:rPr>
        <w:t xml:space="preserve"> de distribución</w:t>
      </w:r>
      <w:r w:rsidRPr="00077E5F">
        <w:rPr>
          <w:rFonts w:ascii="Courier New" w:hAnsi="Courier New" w:cs="Courier New"/>
          <w:sz w:val="24"/>
          <w:szCs w:val="24"/>
          <w:lang w:val="es-ES_tradnl"/>
        </w:rPr>
        <w:t>, así como a los participantes, un informe técnico preliminar elaborado sobre la base de dicho estudio, el que se contará desde el momento en que el comité otorgue su conformidad al estudio.</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El informe técnico preliminar deberá contener, al menos, las materias señaladas en el artículo </w:t>
      </w:r>
      <w:r w:rsidR="00E0295A" w:rsidRPr="00077E5F">
        <w:rPr>
          <w:rFonts w:ascii="Courier New" w:hAnsi="Courier New" w:cs="Courier New"/>
          <w:sz w:val="24"/>
          <w:szCs w:val="24"/>
          <w:lang w:val="es-ES_tradnl"/>
        </w:rPr>
        <w:t>182.</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En caso que los participantes y las empresas concesionarias de distribución tengan observaciones técnicas respecto del informe técnico preliminar, deberán presentarlas a la Comisión dentro de los quince días siguientes a su notificación. La Comisión, en un plazo de cuarenta y cinco días, </w:t>
      </w:r>
      <w:r w:rsidR="00796D33">
        <w:rPr>
          <w:rFonts w:ascii="Courier New" w:hAnsi="Courier New" w:cs="Courier New"/>
          <w:sz w:val="24"/>
          <w:szCs w:val="24"/>
          <w:lang w:val="es-ES_tradnl"/>
        </w:rPr>
        <w:t>contado desde la fecha de recepción de las últimas observaciones,</w:t>
      </w:r>
      <w:r w:rsidRPr="00077E5F">
        <w:rPr>
          <w:rFonts w:ascii="Courier New" w:hAnsi="Courier New" w:cs="Courier New"/>
          <w:sz w:val="24"/>
          <w:szCs w:val="24"/>
          <w:lang w:val="es-ES_tradnl"/>
        </w:rPr>
        <w:t xml:space="preserve"> deberá comunicar, por medios electrónicos, la resolución que contenga el informe técnico corregido</w:t>
      </w:r>
      <w:r w:rsidR="009A707E" w:rsidRPr="00077E5F">
        <w:rPr>
          <w:rFonts w:ascii="Courier New" w:hAnsi="Courier New" w:cs="Courier New"/>
          <w:sz w:val="24"/>
          <w:szCs w:val="24"/>
          <w:lang w:val="es-ES_tradnl"/>
        </w:rPr>
        <w:t>,</w:t>
      </w:r>
      <w:r w:rsidRPr="00077E5F">
        <w:rPr>
          <w:rFonts w:ascii="Courier New" w:hAnsi="Courier New" w:cs="Courier New"/>
          <w:sz w:val="24"/>
          <w:szCs w:val="24"/>
          <w:lang w:val="es-ES_tradnl"/>
        </w:rPr>
        <w:t xml:space="preserve"> aceptando o rechazando fundadamente las observaciones técnicas planteadas.</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Pr="00077E5F" w:rsidRDefault="008108BE" w:rsidP="00B70A1B">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Dentro de los diez días siguientes a la notificación de la resolución señalada en el inciso anterior, las empresas concesionarias y los participantes podrán solicitar al Panel que dirima todas o algunas de las observaciones presentadas que no hubiesen sido acogidas por la Comisión o fueron acogidas parcialmente. Del mismo plazo dispondrá quien no hubiere formulado observaciones al informe técnico para solicitar que se mantenga su contenido, en caso </w:t>
      </w:r>
      <w:r w:rsidRPr="00077E5F">
        <w:rPr>
          <w:rFonts w:ascii="Courier New" w:hAnsi="Courier New" w:cs="Courier New"/>
          <w:sz w:val="24"/>
          <w:szCs w:val="24"/>
          <w:lang w:val="es-ES_tradnl"/>
        </w:rPr>
        <w:lastRenderedPageBreak/>
        <w:t xml:space="preserve">de haberse modificado éste. El Panel deberá </w:t>
      </w:r>
      <w:r w:rsidR="009A707E" w:rsidRPr="00077E5F">
        <w:rPr>
          <w:rFonts w:ascii="Courier New" w:hAnsi="Courier New" w:cs="Courier New"/>
          <w:sz w:val="24"/>
          <w:szCs w:val="24"/>
          <w:lang w:val="es-ES_tradnl"/>
        </w:rPr>
        <w:t xml:space="preserve">realizar </w:t>
      </w:r>
      <w:r w:rsidRPr="00077E5F">
        <w:rPr>
          <w:rFonts w:ascii="Courier New" w:hAnsi="Courier New" w:cs="Courier New"/>
          <w:sz w:val="24"/>
          <w:szCs w:val="24"/>
          <w:lang w:val="es-ES_tradnl"/>
        </w:rPr>
        <w:t xml:space="preserve">una audiencia pública dentro de un plazo máximo de veinte días </w:t>
      </w:r>
      <w:r w:rsidR="009A707E" w:rsidRPr="00077E5F">
        <w:rPr>
          <w:rFonts w:ascii="Courier New" w:hAnsi="Courier New" w:cs="Courier New"/>
          <w:sz w:val="24"/>
          <w:szCs w:val="24"/>
          <w:lang w:val="es-ES_tradnl"/>
        </w:rPr>
        <w:t xml:space="preserve">contado desde el vencimiento del plazo para presentar las discrepancias </w:t>
      </w:r>
      <w:r w:rsidRPr="00077E5F">
        <w:rPr>
          <w:rFonts w:ascii="Courier New" w:hAnsi="Courier New" w:cs="Courier New"/>
          <w:sz w:val="24"/>
          <w:szCs w:val="24"/>
          <w:lang w:val="es-ES_tradnl"/>
        </w:rPr>
        <w:t xml:space="preserve">y deberá evacuar su dictamen en el plazo de cuarenta y cinco días contado desde la </w:t>
      </w:r>
      <w:r w:rsidR="009A707E" w:rsidRPr="00077E5F">
        <w:rPr>
          <w:rFonts w:ascii="Courier New" w:hAnsi="Courier New" w:cs="Courier New"/>
          <w:sz w:val="24"/>
          <w:szCs w:val="24"/>
          <w:lang w:val="es-ES_tradnl"/>
        </w:rPr>
        <w:t xml:space="preserve">referida </w:t>
      </w:r>
      <w:r w:rsidRPr="00077E5F">
        <w:rPr>
          <w:rFonts w:ascii="Courier New" w:hAnsi="Courier New" w:cs="Courier New"/>
          <w:sz w:val="24"/>
          <w:szCs w:val="24"/>
          <w:lang w:val="es-ES_tradnl"/>
        </w:rPr>
        <w:t>audiencia.</w:t>
      </w:r>
    </w:p>
    <w:p w:rsidR="00036F7F" w:rsidRPr="00077E5F" w:rsidRDefault="00036F7F" w:rsidP="00036F7F">
      <w:pPr>
        <w:spacing w:after="0"/>
        <w:ind w:firstLine="3402"/>
        <w:jc w:val="both"/>
        <w:rPr>
          <w:rFonts w:ascii="Courier New" w:hAnsi="Courier New" w:cs="Courier New"/>
          <w:sz w:val="24"/>
          <w:szCs w:val="24"/>
          <w:lang w:val="es-ES_tradnl"/>
        </w:rPr>
      </w:pPr>
    </w:p>
    <w:p w:rsidR="008108BE" w:rsidRDefault="003E01F9" w:rsidP="006F15C2">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Las bases del estudio de costos </w:t>
      </w:r>
      <w:r w:rsidR="00795BDF" w:rsidRPr="00077E5F">
        <w:rPr>
          <w:rFonts w:ascii="Courier New" w:hAnsi="Courier New" w:cs="Courier New"/>
          <w:sz w:val="24"/>
          <w:szCs w:val="24"/>
          <w:lang w:val="es-ES_tradnl"/>
        </w:rPr>
        <w:t>agruparán los</w:t>
      </w:r>
      <w:r w:rsidRPr="00077E5F">
        <w:rPr>
          <w:rFonts w:ascii="Courier New" w:hAnsi="Courier New" w:cs="Courier New"/>
          <w:sz w:val="24"/>
          <w:szCs w:val="24"/>
          <w:lang w:val="es-ES_tradnl"/>
        </w:rPr>
        <w:t xml:space="preserve"> </w:t>
      </w:r>
      <w:r w:rsidR="00795BDF" w:rsidRPr="00077E5F">
        <w:rPr>
          <w:rFonts w:ascii="Courier New" w:hAnsi="Courier New" w:cs="Courier New"/>
          <w:sz w:val="24"/>
          <w:szCs w:val="24"/>
          <w:lang w:val="es-ES_tradnl"/>
        </w:rPr>
        <w:t xml:space="preserve">costos del estudio en diferentes categorías </w:t>
      </w:r>
      <w:r w:rsidRPr="00077E5F">
        <w:rPr>
          <w:rFonts w:ascii="Courier New" w:hAnsi="Courier New" w:cs="Courier New"/>
          <w:sz w:val="24"/>
          <w:szCs w:val="24"/>
          <w:lang w:val="es-ES_tradnl"/>
        </w:rPr>
        <w:t xml:space="preserve">sobre las cuales </w:t>
      </w:r>
      <w:r w:rsidR="00795BDF" w:rsidRPr="00077E5F">
        <w:rPr>
          <w:rFonts w:ascii="Courier New" w:hAnsi="Courier New" w:cs="Courier New"/>
          <w:sz w:val="24"/>
          <w:szCs w:val="24"/>
          <w:lang w:val="es-ES_tradnl"/>
        </w:rPr>
        <w:t xml:space="preserve">se </w:t>
      </w:r>
      <w:r w:rsidRPr="00077E5F">
        <w:rPr>
          <w:rFonts w:ascii="Courier New" w:hAnsi="Courier New" w:cs="Courier New"/>
          <w:sz w:val="24"/>
          <w:szCs w:val="24"/>
          <w:lang w:val="es-ES_tradnl"/>
        </w:rPr>
        <w:t>podrá discrepar</w:t>
      </w:r>
      <w:r w:rsidR="008108BE" w:rsidRPr="00077E5F">
        <w:rPr>
          <w:rFonts w:ascii="Courier New" w:hAnsi="Courier New" w:cs="Courier New"/>
          <w:sz w:val="24"/>
          <w:szCs w:val="24"/>
          <w:lang w:val="es-ES_tradnl"/>
        </w:rPr>
        <w:t xml:space="preserve">. En cada </w:t>
      </w:r>
      <w:r w:rsidR="00795BDF" w:rsidRPr="00077E5F">
        <w:rPr>
          <w:rFonts w:ascii="Courier New" w:hAnsi="Courier New" w:cs="Courier New"/>
          <w:sz w:val="24"/>
          <w:szCs w:val="24"/>
          <w:lang w:val="es-ES_tradnl"/>
        </w:rPr>
        <w:t>categoría</w:t>
      </w:r>
      <w:r w:rsidR="008108BE" w:rsidRPr="00077E5F">
        <w:rPr>
          <w:rFonts w:ascii="Courier New" w:hAnsi="Courier New" w:cs="Courier New"/>
          <w:sz w:val="24"/>
          <w:szCs w:val="24"/>
          <w:lang w:val="es-ES_tradnl"/>
        </w:rPr>
        <w:t>,</w:t>
      </w:r>
      <w:r w:rsidR="0043416D" w:rsidRPr="00077E5F">
        <w:rPr>
          <w:rFonts w:ascii="Courier New" w:hAnsi="Courier New" w:cs="Courier New"/>
          <w:sz w:val="24"/>
          <w:szCs w:val="24"/>
          <w:lang w:val="es-ES_tradnl"/>
        </w:rPr>
        <w:t xml:space="preserve"> y para cada área típica de distribución,</w:t>
      </w:r>
      <w:r w:rsidR="008108BE" w:rsidRPr="00077E5F">
        <w:rPr>
          <w:rFonts w:ascii="Courier New" w:hAnsi="Courier New" w:cs="Courier New"/>
          <w:sz w:val="24"/>
          <w:szCs w:val="24"/>
          <w:lang w:val="es-ES_tradnl"/>
        </w:rPr>
        <w:t xml:space="preserve"> el Panel sólo podrá optar por el </w:t>
      </w:r>
      <w:r w:rsidR="00795BDF" w:rsidRPr="00077E5F">
        <w:rPr>
          <w:rFonts w:ascii="Courier New" w:hAnsi="Courier New" w:cs="Courier New"/>
          <w:sz w:val="24"/>
          <w:szCs w:val="24"/>
          <w:lang w:val="es-ES_tradnl"/>
        </w:rPr>
        <w:t xml:space="preserve">resultado del </w:t>
      </w:r>
      <w:r w:rsidR="008108BE" w:rsidRPr="00077E5F">
        <w:rPr>
          <w:rFonts w:ascii="Courier New" w:hAnsi="Courier New" w:cs="Courier New"/>
          <w:sz w:val="24"/>
          <w:szCs w:val="24"/>
          <w:lang w:val="es-ES_tradnl"/>
        </w:rPr>
        <w:t xml:space="preserve">informe de la Comisión, la alternativa planteada por </w:t>
      </w:r>
      <w:r w:rsidR="00795BDF" w:rsidRPr="00077E5F">
        <w:rPr>
          <w:rFonts w:ascii="Courier New" w:hAnsi="Courier New" w:cs="Courier New"/>
          <w:sz w:val="24"/>
          <w:szCs w:val="24"/>
          <w:lang w:val="es-ES_tradnl"/>
        </w:rPr>
        <w:t>un participante o por una</w:t>
      </w:r>
      <w:r w:rsidR="008108BE" w:rsidRPr="00077E5F">
        <w:rPr>
          <w:rFonts w:ascii="Courier New" w:hAnsi="Courier New" w:cs="Courier New"/>
          <w:sz w:val="24"/>
          <w:szCs w:val="24"/>
          <w:lang w:val="es-ES_tradnl"/>
        </w:rPr>
        <w:t xml:space="preserve"> empresa concesionaria</w:t>
      </w:r>
      <w:r w:rsidRPr="00077E5F">
        <w:rPr>
          <w:rFonts w:ascii="Courier New" w:hAnsi="Courier New" w:cs="Courier New"/>
          <w:sz w:val="24"/>
          <w:szCs w:val="24"/>
          <w:lang w:val="es-ES_tradnl"/>
        </w:rPr>
        <w:t xml:space="preserve"> para el conjunto de</w:t>
      </w:r>
      <w:r w:rsidR="00795BDF" w:rsidRPr="00077E5F">
        <w:rPr>
          <w:rFonts w:ascii="Courier New" w:hAnsi="Courier New" w:cs="Courier New"/>
          <w:sz w:val="24"/>
          <w:szCs w:val="24"/>
          <w:lang w:val="es-ES_tradnl"/>
        </w:rPr>
        <w:t xml:space="preserve"> sus</w:t>
      </w:r>
      <w:r w:rsidRPr="00077E5F">
        <w:rPr>
          <w:rFonts w:ascii="Courier New" w:hAnsi="Courier New" w:cs="Courier New"/>
          <w:sz w:val="24"/>
          <w:szCs w:val="24"/>
          <w:lang w:val="es-ES_tradnl"/>
        </w:rPr>
        <w:t xml:space="preserve"> discrepancias </w:t>
      </w:r>
      <w:r w:rsidR="00795BDF" w:rsidRPr="00077E5F">
        <w:rPr>
          <w:rFonts w:ascii="Courier New" w:hAnsi="Courier New" w:cs="Courier New"/>
          <w:sz w:val="24"/>
          <w:szCs w:val="24"/>
          <w:lang w:val="es-ES_tradnl"/>
        </w:rPr>
        <w:t xml:space="preserve">presentadas </w:t>
      </w:r>
      <w:r w:rsidRPr="00077E5F">
        <w:rPr>
          <w:rFonts w:ascii="Courier New" w:hAnsi="Courier New" w:cs="Courier New"/>
          <w:sz w:val="24"/>
          <w:szCs w:val="24"/>
          <w:lang w:val="es-ES_tradnl"/>
        </w:rPr>
        <w:t xml:space="preserve">en dicha </w:t>
      </w:r>
      <w:r w:rsidR="00795BDF" w:rsidRPr="00077E5F">
        <w:rPr>
          <w:rFonts w:ascii="Courier New" w:hAnsi="Courier New" w:cs="Courier New"/>
          <w:sz w:val="24"/>
          <w:szCs w:val="24"/>
          <w:lang w:val="es-ES_tradnl"/>
        </w:rPr>
        <w:t>categoría</w:t>
      </w:r>
      <w:r w:rsidR="008108BE" w:rsidRPr="00077E5F">
        <w:rPr>
          <w:rFonts w:ascii="Courier New" w:hAnsi="Courier New" w:cs="Courier New"/>
          <w:sz w:val="24"/>
          <w:szCs w:val="24"/>
          <w:lang w:val="es-ES_tradnl"/>
        </w:rPr>
        <w:t>. El Panel no podrá elegir entre resultados parciales de costos, o entre criterios que se hubiesen presentado como observaciones, sino sólo entre valores finales.</w:t>
      </w:r>
    </w:p>
    <w:p w:rsidR="004A23CD" w:rsidRPr="00077E5F" w:rsidRDefault="004A23CD" w:rsidP="006F15C2">
      <w:pPr>
        <w:spacing w:after="0"/>
        <w:ind w:firstLine="3402"/>
        <w:jc w:val="both"/>
        <w:rPr>
          <w:rFonts w:ascii="Courier New" w:hAnsi="Courier New" w:cs="Courier New"/>
          <w:sz w:val="24"/>
          <w:szCs w:val="24"/>
          <w:lang w:val="es-ES_tradnl"/>
        </w:rPr>
      </w:pPr>
    </w:p>
    <w:p w:rsidR="008108BE" w:rsidRPr="00077E5F" w:rsidRDefault="008108BE" w:rsidP="006F15C2">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Si no se presentaren discrepancias, dentro de los cinco días siguientes al vencimiento del plazo para presentarlas, la Comisión deberá remitir al Ministerio de Energía el informe técnico definitivo y sus antecedentes. En el caso que se hubiesen presentado discrepancias, la Comisión dispondrá de treinta días, contados desde la comunicación del dictamen del Panel, para remitir al Ministerio de Energía el informe técnico definitivo y sus antecedentes, incorporando e implementando lo resuelto por el indicado Panel.</w:t>
      </w:r>
    </w:p>
    <w:p w:rsidR="00036F7F" w:rsidRPr="00077E5F" w:rsidRDefault="00036F7F" w:rsidP="00036F7F">
      <w:pPr>
        <w:spacing w:after="0"/>
        <w:ind w:firstLine="3402"/>
        <w:jc w:val="both"/>
        <w:rPr>
          <w:rFonts w:ascii="Courier New" w:hAnsi="Courier New" w:cs="Courier New"/>
          <w:sz w:val="24"/>
          <w:szCs w:val="24"/>
          <w:lang w:val="es-ES_tradnl"/>
        </w:rPr>
      </w:pPr>
    </w:p>
    <w:p w:rsidR="00796D33" w:rsidRDefault="008108BE" w:rsidP="00036F7F">
      <w:pPr>
        <w:spacing w:after="0"/>
        <w:ind w:firstLine="3402"/>
        <w:jc w:val="both"/>
        <w:rPr>
          <w:rFonts w:ascii="Courier New" w:hAnsi="Courier New" w:cs="Courier New"/>
          <w:sz w:val="24"/>
          <w:szCs w:val="24"/>
          <w:lang w:val="es-ES_tradnl"/>
        </w:rPr>
      </w:pPr>
      <w:r w:rsidRPr="00077E5F">
        <w:rPr>
          <w:rFonts w:ascii="Courier New" w:hAnsi="Courier New" w:cs="Courier New"/>
          <w:sz w:val="24"/>
          <w:szCs w:val="24"/>
          <w:lang w:val="es-ES_tradnl"/>
        </w:rPr>
        <w:t xml:space="preserve">Junto con el informe técnico definitivo señalado en el inciso anterior, la Comisión propondrá al Ministerio </w:t>
      </w:r>
      <w:r w:rsidR="00573958">
        <w:rPr>
          <w:rFonts w:ascii="Courier New" w:hAnsi="Courier New" w:cs="Courier New"/>
          <w:sz w:val="24"/>
          <w:szCs w:val="24"/>
          <w:lang w:val="es-ES_tradnl"/>
        </w:rPr>
        <w:t>de Energía</w:t>
      </w:r>
      <w:r w:rsidRPr="00077E5F">
        <w:rPr>
          <w:rFonts w:ascii="Courier New" w:hAnsi="Courier New" w:cs="Courier New"/>
          <w:sz w:val="24"/>
          <w:szCs w:val="24"/>
          <w:lang w:val="es-ES_tradnl"/>
        </w:rPr>
        <w:t xml:space="preserve"> las fórmulas tarifarias para el siguiente período tarifario.</w:t>
      </w:r>
    </w:p>
    <w:p w:rsidR="006F15C2" w:rsidRDefault="006F15C2" w:rsidP="00036F7F">
      <w:pPr>
        <w:spacing w:after="0"/>
        <w:ind w:firstLine="3402"/>
        <w:jc w:val="both"/>
        <w:rPr>
          <w:rFonts w:ascii="Courier New" w:hAnsi="Courier New" w:cs="Courier New"/>
          <w:sz w:val="24"/>
          <w:szCs w:val="24"/>
          <w:lang w:val="es-ES_tradnl"/>
        </w:rPr>
      </w:pPr>
    </w:p>
    <w:p w:rsidR="008108BE" w:rsidRPr="00077E5F" w:rsidRDefault="00796D33" w:rsidP="006F15C2">
      <w:pPr>
        <w:spacing w:after="0"/>
        <w:ind w:firstLine="3402"/>
        <w:jc w:val="both"/>
        <w:rPr>
          <w:rFonts w:ascii="Courier New" w:hAnsi="Courier New" w:cs="Courier New"/>
          <w:sz w:val="24"/>
          <w:szCs w:val="24"/>
          <w:lang w:val="es-ES_tradnl"/>
        </w:rPr>
      </w:pPr>
      <w:r>
        <w:rPr>
          <w:rFonts w:ascii="Courier New" w:hAnsi="Courier New" w:cs="Courier New"/>
          <w:sz w:val="24"/>
          <w:szCs w:val="24"/>
          <w:lang w:val="es-ES_tradnl"/>
        </w:rPr>
        <w:t>El reglamento establecerá las materias necesarias para la implementación de las disposiciones contenidas en el presente artículo.</w:t>
      </w:r>
      <w:r w:rsidR="008108BE" w:rsidRPr="00077E5F">
        <w:rPr>
          <w:rFonts w:ascii="Courier New" w:hAnsi="Courier New" w:cs="Courier New"/>
          <w:sz w:val="24"/>
          <w:szCs w:val="24"/>
          <w:lang w:val="es-ES_tradnl"/>
        </w:rPr>
        <w:t>”</w:t>
      </w:r>
      <w:r w:rsidR="00036F7F">
        <w:rPr>
          <w:rFonts w:ascii="Courier New" w:hAnsi="Courier New" w:cs="Courier New"/>
          <w:sz w:val="24"/>
          <w:szCs w:val="24"/>
          <w:lang w:val="es-ES_tradnl"/>
        </w:rPr>
        <w:t>.</w:t>
      </w:r>
    </w:p>
    <w:p w:rsidR="00036F7F" w:rsidRPr="00077E5F" w:rsidRDefault="00036F7F" w:rsidP="00036F7F">
      <w:pPr>
        <w:spacing w:after="0"/>
        <w:ind w:firstLine="3402"/>
        <w:jc w:val="both"/>
        <w:rPr>
          <w:rFonts w:ascii="Courier New" w:hAnsi="Courier New" w:cs="Courier New"/>
          <w:sz w:val="24"/>
          <w:szCs w:val="24"/>
          <w:lang w:val="es-ES_tradnl"/>
        </w:rPr>
      </w:pPr>
    </w:p>
    <w:p w:rsidR="009F3963" w:rsidRPr="009F3963" w:rsidRDefault="00036F7F" w:rsidP="006F15C2">
      <w:pPr>
        <w:pStyle w:val="Prrafodelista"/>
        <w:numPr>
          <w:ilvl w:val="0"/>
          <w:numId w:val="10"/>
        </w:numPr>
        <w:tabs>
          <w:tab w:val="left" w:pos="2268"/>
          <w:tab w:val="left" w:pos="3544"/>
        </w:tabs>
        <w:spacing w:after="0"/>
        <w:ind w:left="0" w:firstLine="2835"/>
        <w:jc w:val="both"/>
        <w:rPr>
          <w:rFonts w:ascii="Courier New" w:hAnsi="Courier New" w:cs="Courier New"/>
          <w:sz w:val="24"/>
          <w:szCs w:val="24"/>
          <w:lang w:val="es-ES_tradnl"/>
        </w:rPr>
      </w:pPr>
      <w:r>
        <w:rPr>
          <w:rFonts w:ascii="Courier New" w:hAnsi="Courier New" w:cs="Courier New"/>
          <w:sz w:val="24"/>
          <w:szCs w:val="24"/>
          <w:lang w:val="es-ES_tradnl"/>
        </w:rPr>
        <w:t>Reempláza</w:t>
      </w:r>
      <w:r w:rsidR="009F3963" w:rsidRPr="009F3963">
        <w:rPr>
          <w:rFonts w:ascii="Courier New" w:hAnsi="Courier New" w:cs="Courier New"/>
          <w:sz w:val="24"/>
          <w:szCs w:val="24"/>
          <w:lang w:val="es-ES_tradnl"/>
        </w:rPr>
        <w:t xml:space="preserve">se en el artículo 185, inciso </w:t>
      </w:r>
      <w:r w:rsidR="00573958">
        <w:rPr>
          <w:rFonts w:ascii="Courier New" w:hAnsi="Courier New" w:cs="Courier New"/>
          <w:sz w:val="24"/>
          <w:szCs w:val="24"/>
          <w:lang w:val="es-ES_tradnl"/>
        </w:rPr>
        <w:t>segundo</w:t>
      </w:r>
      <w:r w:rsidR="009F3963" w:rsidRPr="009F3963">
        <w:rPr>
          <w:rFonts w:ascii="Courier New" w:hAnsi="Courier New" w:cs="Courier New"/>
          <w:sz w:val="24"/>
          <w:szCs w:val="24"/>
          <w:lang w:val="es-ES_tradnl"/>
        </w:rPr>
        <w:t xml:space="preserve">, artículo 187 y artículo 193, inciso </w:t>
      </w:r>
      <w:r w:rsidR="00573958">
        <w:rPr>
          <w:rFonts w:ascii="Courier New" w:hAnsi="Courier New" w:cs="Courier New"/>
          <w:sz w:val="24"/>
          <w:szCs w:val="24"/>
          <w:lang w:val="es-ES_tradnl"/>
        </w:rPr>
        <w:t>primero</w:t>
      </w:r>
      <w:r w:rsidR="009F3963" w:rsidRPr="009F3963">
        <w:rPr>
          <w:rFonts w:ascii="Courier New" w:hAnsi="Courier New" w:cs="Courier New"/>
          <w:sz w:val="24"/>
          <w:szCs w:val="24"/>
          <w:lang w:val="es-ES_tradnl"/>
        </w:rPr>
        <w:t>, la frase “antes de impuestos”, por “después de impuestos”.</w:t>
      </w:r>
      <w:r w:rsidR="008108BE" w:rsidRPr="009F3963">
        <w:rPr>
          <w:rFonts w:ascii="Courier New" w:hAnsi="Courier New" w:cs="Courier New"/>
          <w:sz w:val="24"/>
          <w:szCs w:val="24"/>
          <w:lang w:val="es-ES_tradnl"/>
        </w:rPr>
        <w:t xml:space="preserve"> </w:t>
      </w:r>
    </w:p>
    <w:p w:rsidR="009F3963" w:rsidRDefault="009F3963" w:rsidP="008108BE">
      <w:pPr>
        <w:autoSpaceDE w:val="0"/>
        <w:autoSpaceDN w:val="0"/>
        <w:adjustRightInd w:val="0"/>
        <w:spacing w:after="0" w:line="240" w:lineRule="auto"/>
        <w:rPr>
          <w:rFonts w:ascii="Courier New" w:hAnsi="Courier New" w:cs="Courier New"/>
          <w:sz w:val="24"/>
          <w:szCs w:val="24"/>
          <w:lang w:val="es-ES_tradnl"/>
        </w:rPr>
      </w:pPr>
    </w:p>
    <w:p w:rsidR="008108BE" w:rsidRPr="00077E5F" w:rsidRDefault="00423234" w:rsidP="006F15C2">
      <w:pPr>
        <w:pStyle w:val="Prrafodelista"/>
        <w:numPr>
          <w:ilvl w:val="0"/>
          <w:numId w:val="10"/>
        </w:numPr>
        <w:tabs>
          <w:tab w:val="left" w:pos="2268"/>
          <w:tab w:val="left" w:pos="3544"/>
        </w:tabs>
        <w:spacing w:after="0"/>
        <w:ind w:left="0" w:firstLine="2835"/>
        <w:jc w:val="both"/>
        <w:rPr>
          <w:rFonts w:ascii="Courier New" w:hAnsi="Courier New" w:cs="Courier New"/>
          <w:sz w:val="24"/>
          <w:szCs w:val="24"/>
          <w:lang w:val="es-ES_tradnl"/>
        </w:rPr>
      </w:pPr>
      <w:r w:rsidRPr="00077E5F">
        <w:rPr>
          <w:rFonts w:ascii="Courier New" w:hAnsi="Courier New" w:cs="Courier New"/>
          <w:sz w:val="24"/>
          <w:szCs w:val="24"/>
          <w:lang w:val="es-ES_tradnl"/>
        </w:rPr>
        <w:t>Elimín</w:t>
      </w:r>
      <w:r w:rsidR="00036F7F">
        <w:rPr>
          <w:rFonts w:ascii="Courier New" w:hAnsi="Courier New" w:cs="Courier New"/>
          <w:sz w:val="24"/>
          <w:szCs w:val="24"/>
          <w:lang w:val="es-ES_tradnl"/>
        </w:rPr>
        <w:t>a</w:t>
      </w:r>
      <w:r w:rsidRPr="00077E5F">
        <w:rPr>
          <w:rFonts w:ascii="Courier New" w:hAnsi="Courier New" w:cs="Courier New"/>
          <w:sz w:val="24"/>
          <w:szCs w:val="24"/>
          <w:lang w:val="es-ES_tradnl"/>
        </w:rPr>
        <w:t>nse</w:t>
      </w:r>
      <w:r w:rsidR="008108BE" w:rsidRPr="00077E5F">
        <w:rPr>
          <w:rFonts w:ascii="Courier New" w:hAnsi="Courier New" w:cs="Courier New"/>
          <w:sz w:val="24"/>
          <w:szCs w:val="24"/>
          <w:lang w:val="es-ES_tradnl"/>
        </w:rPr>
        <w:t xml:space="preserve"> los artículos 188° y 189°.</w:t>
      </w:r>
    </w:p>
    <w:p w:rsidR="009F3963" w:rsidRDefault="009F3963" w:rsidP="00744377">
      <w:pPr>
        <w:autoSpaceDE w:val="0"/>
        <w:autoSpaceDN w:val="0"/>
        <w:adjustRightInd w:val="0"/>
        <w:spacing w:after="0" w:line="240" w:lineRule="auto"/>
        <w:jc w:val="both"/>
        <w:rPr>
          <w:rFonts w:ascii="Courier New" w:hAnsi="Courier New" w:cs="Courier New"/>
          <w:b/>
          <w:sz w:val="24"/>
          <w:szCs w:val="24"/>
          <w:lang w:val="es-ES_tradnl"/>
        </w:rPr>
      </w:pPr>
    </w:p>
    <w:p w:rsidR="00573958" w:rsidRDefault="00036F7F" w:rsidP="00036F7F">
      <w:pPr>
        <w:pStyle w:val="Prrafodelista"/>
        <w:numPr>
          <w:ilvl w:val="0"/>
          <w:numId w:val="10"/>
        </w:numPr>
        <w:tabs>
          <w:tab w:val="left" w:pos="2268"/>
          <w:tab w:val="left" w:pos="3544"/>
        </w:tabs>
        <w:spacing w:after="0"/>
        <w:ind w:left="0" w:firstLine="2835"/>
        <w:jc w:val="both"/>
        <w:rPr>
          <w:rFonts w:ascii="Courier New" w:hAnsi="Courier New" w:cs="Courier New"/>
          <w:sz w:val="24"/>
          <w:szCs w:val="24"/>
          <w:lang w:val="es-ES_tradnl"/>
        </w:rPr>
      </w:pPr>
      <w:r>
        <w:rPr>
          <w:rFonts w:ascii="Courier New" w:hAnsi="Courier New" w:cs="Courier New"/>
          <w:sz w:val="24"/>
          <w:szCs w:val="24"/>
          <w:lang w:val="es-ES_tradnl"/>
        </w:rPr>
        <w:t>Reemplá</w:t>
      </w:r>
      <w:r w:rsidR="00423234" w:rsidRPr="00077E5F">
        <w:rPr>
          <w:rFonts w:ascii="Courier New" w:hAnsi="Courier New" w:cs="Courier New"/>
          <w:sz w:val="24"/>
          <w:szCs w:val="24"/>
          <w:lang w:val="es-ES_tradnl"/>
        </w:rPr>
        <w:t>zase</w:t>
      </w:r>
      <w:r w:rsidR="008B3ADF" w:rsidRPr="00077E5F">
        <w:rPr>
          <w:rFonts w:ascii="Courier New" w:hAnsi="Courier New" w:cs="Courier New"/>
          <w:sz w:val="24"/>
          <w:szCs w:val="24"/>
          <w:lang w:val="es-ES_tradnl"/>
        </w:rPr>
        <w:t xml:space="preserve"> el literal m) del artículo 225°, por el siguiente: </w:t>
      </w:r>
    </w:p>
    <w:p w:rsidR="00573958" w:rsidRPr="006F15C2" w:rsidRDefault="00573958" w:rsidP="006F15C2">
      <w:pPr>
        <w:pStyle w:val="Prrafodelista"/>
        <w:rPr>
          <w:rFonts w:ascii="Courier New" w:hAnsi="Courier New" w:cs="Courier New"/>
          <w:sz w:val="24"/>
          <w:szCs w:val="24"/>
          <w:lang w:val="es-ES_tradnl"/>
        </w:rPr>
      </w:pPr>
    </w:p>
    <w:p w:rsidR="00C42A31" w:rsidRPr="00623B8E" w:rsidRDefault="008B3ADF" w:rsidP="006F15C2">
      <w:pPr>
        <w:tabs>
          <w:tab w:val="left" w:pos="2268"/>
          <w:tab w:val="left" w:pos="3544"/>
        </w:tabs>
        <w:spacing w:after="0"/>
        <w:jc w:val="both"/>
        <w:rPr>
          <w:rFonts w:ascii="Courier New" w:hAnsi="Courier New"/>
          <w:sz w:val="24"/>
          <w:lang w:val="es-ES_tradnl"/>
        </w:rPr>
      </w:pPr>
      <w:r w:rsidRPr="006F15C2">
        <w:rPr>
          <w:rFonts w:ascii="Courier New" w:hAnsi="Courier New" w:cs="Courier New"/>
          <w:sz w:val="24"/>
          <w:szCs w:val="24"/>
          <w:lang w:val="es-ES_tradnl"/>
        </w:rPr>
        <w:t>“</w:t>
      </w:r>
      <w:r w:rsidR="00573958" w:rsidRPr="006F15C2">
        <w:rPr>
          <w:rFonts w:ascii="Courier New" w:hAnsi="Courier New" w:cs="Courier New"/>
          <w:sz w:val="24"/>
          <w:szCs w:val="24"/>
          <w:lang w:val="es-ES_tradnl"/>
        </w:rPr>
        <w:t xml:space="preserve">m) </w:t>
      </w:r>
      <w:r w:rsidRPr="00623B8E">
        <w:rPr>
          <w:rFonts w:ascii="Courier New" w:hAnsi="Courier New"/>
          <w:sz w:val="24"/>
          <w:lang w:val="es-ES_tradnl"/>
        </w:rPr>
        <w:t>Áreas típicas de di</w:t>
      </w:r>
      <w:r w:rsidR="00A3156C" w:rsidRPr="00623B8E">
        <w:rPr>
          <w:rFonts w:ascii="Courier New" w:hAnsi="Courier New"/>
          <w:sz w:val="24"/>
          <w:lang w:val="es-ES_tradnl"/>
        </w:rPr>
        <w:t>stribución: áreas en las cuales</w:t>
      </w:r>
      <w:r w:rsidR="002C592C" w:rsidRPr="00623B8E">
        <w:rPr>
          <w:rFonts w:ascii="Courier New" w:hAnsi="Courier New"/>
          <w:sz w:val="24"/>
          <w:lang w:val="es-ES_tradnl"/>
        </w:rPr>
        <w:t xml:space="preserve"> los costos de prestar el servicio de distribución son similares entre sí, pudiendo incluir en ellas una o más empresas concesionarias de distribución eléctrica.</w:t>
      </w:r>
      <w:r w:rsidRPr="00623B8E">
        <w:rPr>
          <w:rFonts w:ascii="Courier New" w:hAnsi="Courier New"/>
          <w:sz w:val="24"/>
          <w:lang w:val="es-ES_tradnl"/>
        </w:rPr>
        <w:t>”</w:t>
      </w:r>
      <w:r w:rsidR="00744377" w:rsidRPr="00623B8E">
        <w:rPr>
          <w:rFonts w:ascii="Courier New" w:hAnsi="Courier New"/>
          <w:sz w:val="24"/>
          <w:lang w:val="es-ES_tradnl"/>
        </w:rPr>
        <w:t>.</w:t>
      </w:r>
    </w:p>
    <w:p w:rsidR="004A23CD" w:rsidRDefault="004A23CD" w:rsidP="004A23CD">
      <w:pPr>
        <w:spacing w:after="0"/>
        <w:ind w:firstLine="0"/>
        <w:jc w:val="both"/>
        <w:rPr>
          <w:rFonts w:ascii="Courier New" w:hAnsi="Courier New" w:cs="Courier New"/>
          <w:b/>
          <w:sz w:val="24"/>
          <w:szCs w:val="24"/>
          <w:lang w:val="es-ES_tradnl"/>
        </w:rPr>
      </w:pPr>
    </w:p>
    <w:p w:rsidR="00C42A31" w:rsidRPr="00077E5F" w:rsidRDefault="00036F7F" w:rsidP="006F15C2">
      <w:pPr>
        <w:spacing w:after="0"/>
        <w:jc w:val="both"/>
        <w:rPr>
          <w:rFonts w:ascii="Courier New" w:hAnsi="Courier New" w:cs="Courier New"/>
          <w:b/>
          <w:sz w:val="24"/>
          <w:szCs w:val="24"/>
          <w:lang w:val="es-ES_tradnl"/>
        </w:rPr>
      </w:pPr>
      <w:r w:rsidRPr="00077E5F">
        <w:rPr>
          <w:rFonts w:ascii="Courier New" w:hAnsi="Courier New" w:cs="Courier New"/>
          <w:b/>
          <w:sz w:val="24"/>
          <w:szCs w:val="24"/>
          <w:lang w:val="es-ES_tradnl"/>
        </w:rPr>
        <w:t>DISPOSICIONES TRANSITORIAS</w:t>
      </w:r>
    </w:p>
    <w:p w:rsidR="00B14D61" w:rsidRDefault="00B14D61" w:rsidP="006F15C2">
      <w:pPr>
        <w:spacing w:after="0"/>
        <w:jc w:val="both"/>
        <w:rPr>
          <w:rFonts w:ascii="Courier New" w:hAnsi="Courier New" w:cs="Courier New"/>
          <w:b/>
          <w:sz w:val="24"/>
          <w:szCs w:val="24"/>
          <w:lang w:val="es-ES_tradnl"/>
        </w:rPr>
      </w:pPr>
    </w:p>
    <w:p w:rsidR="00036F7F" w:rsidRDefault="00036F7F" w:rsidP="0066271D">
      <w:pPr>
        <w:spacing w:after="0"/>
        <w:jc w:val="both"/>
        <w:rPr>
          <w:rFonts w:ascii="Courier New" w:hAnsi="Courier New" w:cs="Courier New"/>
          <w:b/>
          <w:sz w:val="24"/>
          <w:szCs w:val="24"/>
          <w:lang w:val="es-ES_tradnl"/>
        </w:rPr>
      </w:pPr>
    </w:p>
    <w:p w:rsidR="00036F7F" w:rsidRPr="00036F7F" w:rsidRDefault="008108BE" w:rsidP="00036F7F">
      <w:pPr>
        <w:spacing w:after="0"/>
        <w:ind w:firstLine="0"/>
        <w:jc w:val="both"/>
        <w:rPr>
          <w:rFonts w:ascii="Courier New" w:hAnsi="Courier New" w:cs="Courier New"/>
          <w:sz w:val="24"/>
          <w:szCs w:val="24"/>
          <w:lang w:val="es-ES_tradnl"/>
        </w:rPr>
      </w:pPr>
      <w:r w:rsidRPr="00077E5F">
        <w:rPr>
          <w:rFonts w:ascii="Courier New" w:hAnsi="Courier New" w:cs="Courier New"/>
          <w:b/>
          <w:sz w:val="24"/>
          <w:szCs w:val="24"/>
          <w:lang w:val="es-ES_tradnl"/>
        </w:rPr>
        <w:t>Artículo único.</w:t>
      </w:r>
      <w:r w:rsidR="00036F7F">
        <w:rPr>
          <w:rFonts w:ascii="Courier New" w:hAnsi="Courier New" w:cs="Courier New"/>
          <w:b/>
          <w:sz w:val="24"/>
          <w:szCs w:val="24"/>
          <w:lang w:val="es-ES_tradnl"/>
        </w:rPr>
        <w:t>-</w:t>
      </w:r>
      <w:r w:rsidRPr="00077E5F">
        <w:rPr>
          <w:rFonts w:ascii="Courier New" w:hAnsi="Courier New" w:cs="Courier New"/>
          <w:sz w:val="24"/>
          <w:szCs w:val="24"/>
          <w:lang w:val="es-ES_tradnl"/>
        </w:rPr>
        <w:t xml:space="preserve"> Lo dispuesto en la presente ley se aplicará al proceso de determinación de tarifas de distribución correspondiente al cuadrienio 2020-2024, así como también al proceso de fijación de precios de servicios no consistentes en suministros de energía, asociados a la distribución de energía eléctrica, en lo que fuere pertinente</w:t>
      </w:r>
      <w:r w:rsidR="00324E08">
        <w:rPr>
          <w:rFonts w:ascii="Courier New" w:hAnsi="Courier New" w:cs="Courier New"/>
          <w:sz w:val="24"/>
          <w:szCs w:val="24"/>
          <w:lang w:val="es-ES_tradnl"/>
        </w:rPr>
        <w:t>.”.</w:t>
      </w:r>
    </w:p>
    <w:p w:rsidR="00F30D86" w:rsidRDefault="00F30D86">
      <w:pPr>
        <w:spacing w:after="200"/>
        <w:ind w:firstLine="0"/>
        <w:rPr>
          <w:rFonts w:ascii="Courier New" w:eastAsia="Times New Roman" w:hAnsi="Courier New" w:cs="Courier New"/>
          <w:color w:val="000000"/>
          <w:spacing w:val="-3"/>
          <w:sz w:val="24"/>
          <w:szCs w:val="24"/>
          <w:lang w:eastAsia="es-CL"/>
        </w:rPr>
      </w:pPr>
      <w:r>
        <w:rPr>
          <w:rFonts w:ascii="Courier New" w:eastAsia="Times New Roman" w:hAnsi="Courier New" w:cs="Courier New"/>
          <w:color w:val="000000"/>
          <w:spacing w:val="-3"/>
          <w:sz w:val="24"/>
          <w:szCs w:val="24"/>
          <w:lang w:eastAsia="es-CL"/>
        </w:rPr>
        <w:br w:type="page"/>
      </w:r>
    </w:p>
    <w:p w:rsidR="00841D9C" w:rsidRPr="00077E5F" w:rsidRDefault="00841D9C" w:rsidP="00036F7F">
      <w:pPr>
        <w:spacing w:after="0"/>
        <w:jc w:val="both"/>
        <w:rPr>
          <w:rFonts w:ascii="Courier New" w:eastAsia="Times New Roman" w:hAnsi="Courier New" w:cs="Courier New"/>
          <w:color w:val="000000"/>
          <w:spacing w:val="-3"/>
          <w:sz w:val="24"/>
          <w:szCs w:val="24"/>
          <w:lang w:eastAsia="es-CL"/>
        </w:rPr>
      </w:pPr>
      <w:r w:rsidRPr="00077E5F">
        <w:rPr>
          <w:rFonts w:ascii="Courier New" w:eastAsia="Times New Roman" w:hAnsi="Courier New" w:cs="Courier New"/>
          <w:color w:val="000000"/>
          <w:spacing w:val="-3"/>
          <w:sz w:val="24"/>
          <w:szCs w:val="24"/>
          <w:lang w:eastAsia="es-CL"/>
        </w:rPr>
        <w:t>Dios guarde a V.E.,</w:t>
      </w: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795BDF" w:rsidRPr="00077E5F" w:rsidRDefault="00795BDF"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77E5F" w:rsidRDefault="00841D9C" w:rsidP="00841D9C">
      <w:pPr>
        <w:spacing w:after="0"/>
        <w:jc w:val="both"/>
        <w:rPr>
          <w:rFonts w:ascii="Courier New" w:eastAsia="BatangChe" w:hAnsi="Courier New" w:cs="Courier New"/>
          <w:sz w:val="24"/>
          <w:szCs w:val="24"/>
          <w:lang w:eastAsia="es-CL"/>
        </w:rPr>
      </w:pPr>
    </w:p>
    <w:p w:rsidR="00841D9C" w:rsidRPr="00036F7F" w:rsidRDefault="00841D9C" w:rsidP="00841D9C">
      <w:pPr>
        <w:spacing w:after="0"/>
        <w:jc w:val="both"/>
        <w:rPr>
          <w:rFonts w:ascii="Courier New" w:eastAsia="BatangChe" w:hAnsi="Courier New" w:cs="Courier New"/>
          <w:sz w:val="24"/>
          <w:szCs w:val="24"/>
          <w:lang w:eastAsia="es-CL"/>
        </w:rPr>
      </w:pPr>
    </w:p>
    <w:p w:rsidR="00841D9C" w:rsidRPr="00036F7F" w:rsidRDefault="00841D9C" w:rsidP="00841D9C">
      <w:pPr>
        <w:tabs>
          <w:tab w:val="center" w:pos="1985"/>
          <w:tab w:val="center" w:pos="6237"/>
        </w:tabs>
        <w:spacing w:after="0" w:line="240" w:lineRule="atLeast"/>
        <w:rPr>
          <w:rFonts w:ascii="Courier New" w:eastAsia="Times New Roman" w:hAnsi="Courier New" w:cs="Courier New"/>
          <w:b/>
          <w:sz w:val="24"/>
          <w:szCs w:val="24"/>
          <w:lang w:eastAsia="es-CL"/>
        </w:rPr>
      </w:pPr>
      <w:r w:rsidRPr="00036F7F">
        <w:rPr>
          <w:rFonts w:ascii="Courier New" w:eastAsia="Times New Roman" w:hAnsi="Courier New" w:cs="Courier New"/>
          <w:b/>
          <w:sz w:val="24"/>
          <w:szCs w:val="24"/>
          <w:lang w:eastAsia="es-CL"/>
        </w:rPr>
        <w:tab/>
        <w:t>SEBASTIÁN PIÑERA ECHENIQUE</w:t>
      </w:r>
    </w:p>
    <w:p w:rsidR="00841D9C" w:rsidRPr="00036F7F" w:rsidRDefault="00841D9C" w:rsidP="00841D9C">
      <w:pPr>
        <w:tabs>
          <w:tab w:val="center" w:pos="1985"/>
          <w:tab w:val="center" w:pos="6237"/>
        </w:tabs>
        <w:spacing w:after="0" w:line="240" w:lineRule="atLeast"/>
        <w:rPr>
          <w:rFonts w:ascii="Courier New" w:eastAsia="Times New Roman" w:hAnsi="Courier New" w:cs="Courier New"/>
          <w:sz w:val="24"/>
          <w:szCs w:val="24"/>
          <w:lang w:eastAsia="es-CL"/>
        </w:rPr>
      </w:pPr>
      <w:r w:rsidRPr="00036F7F">
        <w:rPr>
          <w:rFonts w:ascii="Courier New" w:eastAsia="Times New Roman" w:hAnsi="Courier New" w:cs="Courier New"/>
          <w:sz w:val="24"/>
          <w:szCs w:val="24"/>
          <w:lang w:eastAsia="es-CL"/>
        </w:rPr>
        <w:tab/>
        <w:t>Presidente de la República</w:t>
      </w:r>
    </w:p>
    <w:p w:rsidR="00841D9C" w:rsidRPr="00036F7F" w:rsidRDefault="00841D9C" w:rsidP="00841D9C">
      <w:pPr>
        <w:spacing w:after="0" w:line="240" w:lineRule="atLeast"/>
        <w:jc w:val="both"/>
        <w:rPr>
          <w:rFonts w:ascii="Courier New" w:eastAsia="BatangChe" w:hAnsi="Courier New" w:cs="Courier New"/>
          <w:sz w:val="24"/>
          <w:szCs w:val="24"/>
          <w:lang w:eastAsia="es-CL"/>
        </w:rPr>
      </w:pPr>
    </w:p>
    <w:p w:rsidR="00841D9C" w:rsidRDefault="00841D9C"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Pr="00036F7F" w:rsidRDefault="00876A9E" w:rsidP="00841D9C">
      <w:pPr>
        <w:spacing w:after="0" w:line="240" w:lineRule="atLeast"/>
        <w:jc w:val="both"/>
        <w:rPr>
          <w:rFonts w:ascii="Courier New" w:eastAsia="BatangChe" w:hAnsi="Courier New" w:cs="Courier New"/>
          <w:sz w:val="24"/>
          <w:szCs w:val="24"/>
          <w:lang w:eastAsia="es-CL"/>
        </w:rPr>
      </w:pPr>
    </w:p>
    <w:p w:rsidR="00841D9C" w:rsidRPr="00036F7F" w:rsidRDefault="00841D9C" w:rsidP="00841D9C">
      <w:pPr>
        <w:spacing w:after="0" w:line="240" w:lineRule="atLeast"/>
        <w:jc w:val="both"/>
        <w:rPr>
          <w:rFonts w:ascii="Courier New" w:eastAsia="BatangChe" w:hAnsi="Courier New" w:cs="Courier New"/>
          <w:sz w:val="24"/>
          <w:szCs w:val="24"/>
          <w:lang w:eastAsia="es-CL"/>
        </w:rPr>
      </w:pPr>
    </w:p>
    <w:p w:rsidR="00841D9C" w:rsidRPr="00036F7F" w:rsidRDefault="00841D9C" w:rsidP="00841D9C">
      <w:pPr>
        <w:spacing w:after="0" w:line="240" w:lineRule="atLeast"/>
        <w:jc w:val="both"/>
        <w:rPr>
          <w:rFonts w:ascii="Courier New" w:eastAsia="BatangChe" w:hAnsi="Courier New" w:cs="Courier New"/>
          <w:sz w:val="24"/>
          <w:szCs w:val="24"/>
          <w:lang w:eastAsia="es-CL"/>
        </w:rPr>
      </w:pPr>
    </w:p>
    <w:p w:rsidR="00841D9C" w:rsidRPr="00036F7F" w:rsidRDefault="00841D9C" w:rsidP="00841D9C">
      <w:pPr>
        <w:spacing w:after="0" w:line="240" w:lineRule="atLeast"/>
        <w:jc w:val="both"/>
        <w:rPr>
          <w:rFonts w:ascii="Courier New" w:eastAsia="BatangChe" w:hAnsi="Courier New" w:cs="Courier New"/>
          <w:sz w:val="24"/>
          <w:szCs w:val="24"/>
          <w:lang w:eastAsia="es-CL"/>
        </w:rPr>
      </w:pPr>
    </w:p>
    <w:p w:rsidR="00841D9C" w:rsidRDefault="00841D9C" w:rsidP="00841D9C">
      <w:pPr>
        <w:spacing w:after="0" w:line="240" w:lineRule="atLeast"/>
        <w:jc w:val="both"/>
        <w:rPr>
          <w:rFonts w:ascii="Courier New" w:eastAsia="BatangChe" w:hAnsi="Courier New" w:cs="Courier New"/>
          <w:sz w:val="24"/>
          <w:szCs w:val="24"/>
          <w:lang w:eastAsia="es-CL"/>
        </w:rPr>
      </w:pPr>
    </w:p>
    <w:p w:rsidR="00876A9E" w:rsidRPr="00036F7F" w:rsidRDefault="00876A9E" w:rsidP="00841D9C">
      <w:pPr>
        <w:spacing w:after="0" w:line="240" w:lineRule="atLeast"/>
        <w:jc w:val="both"/>
        <w:rPr>
          <w:rFonts w:ascii="Courier New" w:eastAsia="BatangChe" w:hAnsi="Courier New" w:cs="Courier New"/>
          <w:sz w:val="24"/>
          <w:szCs w:val="24"/>
          <w:lang w:eastAsia="es-CL"/>
        </w:rPr>
      </w:pPr>
    </w:p>
    <w:p w:rsidR="00841D9C" w:rsidRDefault="00841D9C" w:rsidP="00841D9C">
      <w:pPr>
        <w:spacing w:after="0" w:line="240" w:lineRule="atLeast"/>
        <w:jc w:val="both"/>
        <w:rPr>
          <w:rFonts w:ascii="Courier New" w:eastAsia="BatangChe" w:hAnsi="Courier New" w:cs="Courier New"/>
          <w:sz w:val="24"/>
          <w:szCs w:val="24"/>
          <w:lang w:eastAsia="es-CL"/>
        </w:rPr>
      </w:pPr>
    </w:p>
    <w:p w:rsidR="00876A9E" w:rsidRPr="00036F7F" w:rsidRDefault="00876A9E" w:rsidP="00876A9E">
      <w:pPr>
        <w:tabs>
          <w:tab w:val="center" w:pos="2268"/>
          <w:tab w:val="center" w:pos="6237"/>
        </w:tabs>
        <w:spacing w:after="0" w:line="240" w:lineRule="atLeast"/>
        <w:ind w:firstLine="0"/>
        <w:jc w:val="both"/>
        <w:rPr>
          <w:rFonts w:ascii="Courier New" w:eastAsia="BatangChe" w:hAnsi="Courier New" w:cs="Courier New"/>
          <w:b/>
          <w:sz w:val="24"/>
          <w:szCs w:val="24"/>
          <w:lang w:eastAsia="es-CL"/>
        </w:rPr>
      </w:pPr>
      <w:r>
        <w:rPr>
          <w:rFonts w:ascii="Courier New" w:eastAsia="BatangChe" w:hAnsi="Courier New" w:cs="Courier New"/>
          <w:b/>
          <w:sz w:val="24"/>
          <w:szCs w:val="24"/>
          <w:lang w:eastAsia="es-CL"/>
        </w:rPr>
        <w:t>FELIPE LARRAÍN BASCUÑÁN</w:t>
      </w:r>
    </w:p>
    <w:p w:rsidR="00876A9E" w:rsidRPr="00036F7F" w:rsidRDefault="00876A9E" w:rsidP="00876A9E">
      <w:pPr>
        <w:spacing w:after="0" w:line="240" w:lineRule="atLeast"/>
        <w:ind w:firstLine="142"/>
        <w:jc w:val="both"/>
        <w:rPr>
          <w:rFonts w:ascii="Courier New" w:eastAsia="BatangChe" w:hAnsi="Courier New" w:cs="Courier New"/>
          <w:sz w:val="24"/>
          <w:szCs w:val="24"/>
          <w:lang w:eastAsia="es-CL"/>
        </w:rPr>
      </w:pPr>
      <w:r>
        <w:rPr>
          <w:rFonts w:ascii="Courier New" w:eastAsia="BatangChe" w:hAnsi="Courier New" w:cs="Courier New"/>
          <w:sz w:val="24"/>
          <w:szCs w:val="24"/>
          <w:lang w:eastAsia="es-CL"/>
        </w:rPr>
        <w:t xml:space="preserve"> Ministro de Hacienda</w:t>
      </w: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Default="00876A9E" w:rsidP="00841D9C">
      <w:pPr>
        <w:spacing w:after="0" w:line="240" w:lineRule="atLeast"/>
        <w:jc w:val="both"/>
        <w:rPr>
          <w:rFonts w:ascii="Courier New" w:eastAsia="BatangChe" w:hAnsi="Courier New" w:cs="Courier New"/>
          <w:sz w:val="24"/>
          <w:szCs w:val="24"/>
          <w:lang w:eastAsia="es-CL"/>
        </w:rPr>
      </w:pPr>
    </w:p>
    <w:p w:rsidR="00876A9E" w:rsidRPr="00036F7F" w:rsidRDefault="00876A9E" w:rsidP="00841D9C">
      <w:pPr>
        <w:spacing w:after="0" w:line="240" w:lineRule="atLeast"/>
        <w:jc w:val="both"/>
        <w:rPr>
          <w:rFonts w:ascii="Courier New" w:eastAsia="BatangChe" w:hAnsi="Courier New" w:cs="Courier New"/>
          <w:sz w:val="24"/>
          <w:szCs w:val="24"/>
          <w:lang w:eastAsia="es-CL"/>
        </w:rPr>
      </w:pPr>
    </w:p>
    <w:p w:rsidR="00841D9C" w:rsidRPr="00036F7F" w:rsidRDefault="00876A9E" w:rsidP="00876A9E">
      <w:pPr>
        <w:tabs>
          <w:tab w:val="center" w:pos="6237"/>
        </w:tabs>
        <w:spacing w:after="0" w:line="240" w:lineRule="atLeast"/>
        <w:ind w:firstLine="0"/>
        <w:jc w:val="both"/>
        <w:rPr>
          <w:rFonts w:ascii="Courier New" w:eastAsia="BatangChe" w:hAnsi="Courier New" w:cs="Courier New"/>
          <w:b/>
          <w:sz w:val="24"/>
          <w:szCs w:val="24"/>
          <w:lang w:eastAsia="es-CL"/>
        </w:rPr>
      </w:pPr>
      <w:r>
        <w:rPr>
          <w:rFonts w:ascii="Courier New" w:eastAsia="BatangChe" w:hAnsi="Courier New" w:cs="Courier New"/>
          <w:b/>
          <w:sz w:val="24"/>
          <w:szCs w:val="24"/>
          <w:lang w:eastAsia="es-CL"/>
        </w:rPr>
        <w:tab/>
      </w:r>
      <w:r w:rsidR="00093A35">
        <w:rPr>
          <w:rFonts w:ascii="Courier New" w:eastAsia="BatangChe" w:hAnsi="Courier New" w:cs="Courier New"/>
          <w:b/>
          <w:sz w:val="24"/>
          <w:szCs w:val="24"/>
          <w:lang w:eastAsia="es-CL"/>
        </w:rPr>
        <w:t>RICARDO IRARRÁZAB</w:t>
      </w:r>
      <w:r w:rsidR="00B0580B">
        <w:rPr>
          <w:rFonts w:ascii="Courier New" w:eastAsia="BatangChe" w:hAnsi="Courier New" w:cs="Courier New"/>
          <w:b/>
          <w:sz w:val="24"/>
          <w:szCs w:val="24"/>
          <w:lang w:eastAsia="es-CL"/>
        </w:rPr>
        <w:t>AL SÁNCHEZ</w:t>
      </w:r>
    </w:p>
    <w:p w:rsidR="00841D9C" w:rsidRPr="00036F7F" w:rsidRDefault="007F42B4" w:rsidP="00876A9E">
      <w:pPr>
        <w:tabs>
          <w:tab w:val="center" w:pos="6237"/>
        </w:tabs>
        <w:spacing w:after="0" w:line="240" w:lineRule="atLeast"/>
        <w:ind w:firstLine="0"/>
        <w:jc w:val="both"/>
        <w:rPr>
          <w:rFonts w:ascii="Courier New" w:eastAsia="BatangChe" w:hAnsi="Courier New" w:cs="Courier New"/>
          <w:b/>
          <w:sz w:val="24"/>
          <w:szCs w:val="24"/>
          <w:lang w:eastAsia="es-CL"/>
        </w:rPr>
      </w:pPr>
      <w:r w:rsidRPr="00036F7F">
        <w:rPr>
          <w:rFonts w:ascii="Courier New" w:eastAsia="BatangChe" w:hAnsi="Courier New" w:cs="Courier New"/>
          <w:sz w:val="24"/>
          <w:szCs w:val="24"/>
          <w:lang w:eastAsia="es-CL"/>
        </w:rPr>
        <w:t xml:space="preserve"> </w:t>
      </w:r>
      <w:r w:rsidR="00876A9E">
        <w:rPr>
          <w:rFonts w:ascii="Courier New" w:eastAsia="BatangChe" w:hAnsi="Courier New" w:cs="Courier New"/>
          <w:sz w:val="24"/>
          <w:szCs w:val="24"/>
          <w:lang w:eastAsia="es-CL"/>
        </w:rPr>
        <w:tab/>
      </w:r>
      <w:r w:rsidR="00B0580B">
        <w:rPr>
          <w:rFonts w:ascii="Courier New" w:eastAsia="BatangChe" w:hAnsi="Courier New" w:cs="Courier New"/>
          <w:sz w:val="24"/>
          <w:szCs w:val="24"/>
          <w:lang w:eastAsia="es-CL"/>
        </w:rPr>
        <w:t xml:space="preserve"> Ministro de Energía (S)</w:t>
      </w:r>
    </w:p>
    <w:p w:rsidR="00A647F8" w:rsidRDefault="00A647F8">
      <w:pPr>
        <w:spacing w:after="200"/>
        <w:ind w:firstLine="0"/>
        <w:rPr>
          <w:rFonts w:ascii="Courier New" w:eastAsia="BatangChe" w:hAnsi="Courier New" w:cs="Courier New"/>
          <w:sz w:val="24"/>
          <w:szCs w:val="24"/>
          <w:lang w:eastAsia="es-CL"/>
        </w:rPr>
      </w:pPr>
      <w:r>
        <w:rPr>
          <w:rFonts w:ascii="Courier New" w:eastAsia="BatangChe" w:hAnsi="Courier New" w:cs="Courier New"/>
          <w:sz w:val="24"/>
          <w:szCs w:val="24"/>
          <w:lang w:eastAsia="es-CL"/>
        </w:rPr>
        <w:br w:type="page"/>
      </w:r>
      <w:r w:rsidR="00212B9B">
        <w:rPr>
          <w:rFonts w:ascii="Courier New" w:eastAsia="BatangChe" w:hAnsi="Courier New" w:cs="Courier New"/>
          <w:noProof/>
          <w:sz w:val="24"/>
          <w:szCs w:val="24"/>
          <w:lang w:val="es-ES" w:eastAsia="es-ES"/>
        </w:rPr>
        <w:lastRenderedPageBreak/>
        <w:drawing>
          <wp:anchor distT="0" distB="0" distL="114300" distR="114300" simplePos="0" relativeHeight="251658240" behindDoc="0" locked="0" layoutInCell="1" allowOverlap="1">
            <wp:simplePos x="0" y="0"/>
            <wp:positionH relativeFrom="column">
              <wp:posOffset>-1094105</wp:posOffset>
            </wp:positionH>
            <wp:positionV relativeFrom="paragraph">
              <wp:posOffset>-621030</wp:posOffset>
            </wp:positionV>
            <wp:extent cx="7743825" cy="10010775"/>
            <wp:effectExtent l="19050" t="0" r="9525" b="0"/>
            <wp:wrapThrough wrapText="bothSides">
              <wp:wrapPolygon edited="0">
                <wp:start x="-53" y="0"/>
                <wp:lineTo x="-53" y="21579"/>
                <wp:lineTo x="21627" y="21579"/>
                <wp:lineTo x="21627" y="0"/>
                <wp:lineTo x="-53" y="0"/>
              </wp:wrapPolygon>
            </wp:wrapThrough>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7743825" cy="10010775"/>
                    </a:xfrm>
                    <a:prstGeom prst="rect">
                      <a:avLst/>
                    </a:prstGeom>
                    <a:noFill/>
                    <a:ln w="9525">
                      <a:noFill/>
                      <a:miter lim="800000"/>
                      <a:headEnd/>
                      <a:tailEnd/>
                    </a:ln>
                  </pic:spPr>
                </pic:pic>
              </a:graphicData>
            </a:graphic>
          </wp:anchor>
        </w:drawing>
      </w:r>
    </w:p>
    <w:p w:rsidR="00BF3DC1" w:rsidRDefault="00212B9B" w:rsidP="00841D9C">
      <w:pPr>
        <w:spacing w:after="0" w:line="240" w:lineRule="atLeast"/>
        <w:jc w:val="both"/>
        <w:rPr>
          <w:rFonts w:ascii="Courier New" w:eastAsia="BatangChe" w:hAnsi="Courier New" w:cs="Courier New"/>
          <w:sz w:val="24"/>
          <w:szCs w:val="24"/>
          <w:lang w:eastAsia="es-CL"/>
        </w:rPr>
      </w:pPr>
      <w:r>
        <w:rPr>
          <w:rFonts w:ascii="Courier New" w:eastAsia="BatangChe" w:hAnsi="Courier New" w:cs="Courier New"/>
          <w:noProof/>
          <w:sz w:val="24"/>
          <w:szCs w:val="24"/>
          <w:lang w:val="es-ES" w:eastAsia="es-ES"/>
        </w:rPr>
        <w:lastRenderedPageBreak/>
        <w:drawing>
          <wp:anchor distT="0" distB="0" distL="114300" distR="114300" simplePos="0" relativeHeight="251659264" behindDoc="0" locked="0" layoutInCell="1" allowOverlap="1">
            <wp:simplePos x="0" y="0"/>
            <wp:positionH relativeFrom="column">
              <wp:posOffset>-1148715</wp:posOffset>
            </wp:positionH>
            <wp:positionV relativeFrom="paragraph">
              <wp:posOffset>-487680</wp:posOffset>
            </wp:positionV>
            <wp:extent cx="7762875" cy="10029825"/>
            <wp:effectExtent l="19050" t="0" r="9525" b="0"/>
            <wp:wrapThrough wrapText="bothSides">
              <wp:wrapPolygon edited="0">
                <wp:start x="-53" y="0"/>
                <wp:lineTo x="-53" y="21579"/>
                <wp:lineTo x="21627" y="21579"/>
                <wp:lineTo x="21627" y="0"/>
                <wp:lineTo x="-53" y="0"/>
              </wp:wrapPolygon>
            </wp:wrapThrough>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7762875" cy="10029825"/>
                    </a:xfrm>
                    <a:prstGeom prst="rect">
                      <a:avLst/>
                    </a:prstGeom>
                    <a:noFill/>
                    <a:ln w="9525">
                      <a:noFill/>
                      <a:miter lim="800000"/>
                      <a:headEnd/>
                      <a:tailEnd/>
                    </a:ln>
                  </pic:spPr>
                </pic:pic>
              </a:graphicData>
            </a:graphic>
          </wp:anchor>
        </w:drawing>
      </w:r>
    </w:p>
    <w:p w:rsidR="00BF3DC1" w:rsidRDefault="00212B9B" w:rsidP="00841D9C">
      <w:pPr>
        <w:spacing w:after="0" w:line="240" w:lineRule="atLeast"/>
        <w:jc w:val="both"/>
        <w:rPr>
          <w:rFonts w:ascii="Courier New" w:eastAsia="BatangChe" w:hAnsi="Courier New" w:cs="Courier New"/>
          <w:sz w:val="24"/>
          <w:szCs w:val="24"/>
          <w:lang w:eastAsia="es-CL"/>
        </w:rPr>
      </w:pPr>
      <w:r>
        <w:rPr>
          <w:rFonts w:ascii="Courier New" w:eastAsia="BatangChe" w:hAnsi="Courier New" w:cs="Courier New"/>
          <w:noProof/>
          <w:sz w:val="24"/>
          <w:szCs w:val="24"/>
          <w:lang w:val="es-ES" w:eastAsia="es-ES"/>
        </w:rPr>
        <w:lastRenderedPageBreak/>
        <w:drawing>
          <wp:anchor distT="0" distB="0" distL="114300" distR="114300" simplePos="0" relativeHeight="251660288" behindDoc="0" locked="0" layoutInCell="1" allowOverlap="1">
            <wp:simplePos x="0" y="0"/>
            <wp:positionH relativeFrom="column">
              <wp:posOffset>-1151255</wp:posOffset>
            </wp:positionH>
            <wp:positionV relativeFrom="paragraph">
              <wp:posOffset>-516255</wp:posOffset>
            </wp:positionV>
            <wp:extent cx="7788910" cy="10077450"/>
            <wp:effectExtent l="19050" t="0" r="2540" b="0"/>
            <wp:wrapThrough wrapText="bothSides">
              <wp:wrapPolygon edited="0">
                <wp:start x="-53" y="0"/>
                <wp:lineTo x="-53" y="21559"/>
                <wp:lineTo x="21607" y="21559"/>
                <wp:lineTo x="21607" y="0"/>
                <wp:lineTo x="-53" y="0"/>
              </wp:wrapPolygon>
            </wp:wrapThrough>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srcRect/>
                    <a:stretch>
                      <a:fillRect/>
                    </a:stretch>
                  </pic:blipFill>
                  <pic:spPr bwMode="auto">
                    <a:xfrm>
                      <a:off x="0" y="0"/>
                      <a:ext cx="7788910" cy="10077450"/>
                    </a:xfrm>
                    <a:prstGeom prst="rect">
                      <a:avLst/>
                    </a:prstGeom>
                    <a:noFill/>
                    <a:ln w="9525">
                      <a:noFill/>
                      <a:miter lim="800000"/>
                      <a:headEnd/>
                      <a:tailEnd/>
                    </a:ln>
                  </pic:spPr>
                </pic:pic>
              </a:graphicData>
            </a:graphic>
          </wp:anchor>
        </w:drawing>
      </w:r>
    </w:p>
    <w:p w:rsidR="00841D9C" w:rsidRPr="00036F7F" w:rsidRDefault="00212B9B" w:rsidP="00841D9C">
      <w:pPr>
        <w:spacing w:after="0" w:line="240" w:lineRule="atLeast"/>
        <w:jc w:val="both"/>
        <w:rPr>
          <w:rFonts w:ascii="Courier New" w:eastAsia="BatangChe" w:hAnsi="Courier New" w:cs="Courier New"/>
          <w:sz w:val="24"/>
          <w:szCs w:val="24"/>
          <w:lang w:eastAsia="es-CL"/>
        </w:rPr>
      </w:pPr>
      <w:r>
        <w:rPr>
          <w:rFonts w:ascii="Courier New" w:eastAsia="BatangChe" w:hAnsi="Courier New" w:cs="Courier New"/>
          <w:noProof/>
          <w:sz w:val="24"/>
          <w:szCs w:val="24"/>
          <w:lang w:val="es-ES" w:eastAsia="es-ES"/>
        </w:rPr>
        <w:lastRenderedPageBreak/>
        <w:drawing>
          <wp:anchor distT="0" distB="0" distL="114300" distR="114300" simplePos="0" relativeHeight="251661312" behindDoc="0" locked="0" layoutInCell="1" allowOverlap="1">
            <wp:simplePos x="0" y="0"/>
            <wp:positionH relativeFrom="column">
              <wp:posOffset>-1151255</wp:posOffset>
            </wp:positionH>
            <wp:positionV relativeFrom="paragraph">
              <wp:posOffset>-516255</wp:posOffset>
            </wp:positionV>
            <wp:extent cx="7743825" cy="10325100"/>
            <wp:effectExtent l="19050" t="0" r="9525" b="0"/>
            <wp:wrapThrough wrapText="bothSides">
              <wp:wrapPolygon edited="0">
                <wp:start x="-53" y="0"/>
                <wp:lineTo x="-53" y="21560"/>
                <wp:lineTo x="21627" y="21560"/>
                <wp:lineTo x="21627" y="0"/>
                <wp:lineTo x="-53"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7743825" cy="10325100"/>
                    </a:xfrm>
                    <a:prstGeom prst="rect">
                      <a:avLst/>
                    </a:prstGeom>
                    <a:noFill/>
                    <a:ln w="9525">
                      <a:noFill/>
                      <a:miter lim="800000"/>
                      <a:headEnd/>
                      <a:tailEnd/>
                    </a:ln>
                  </pic:spPr>
                </pic:pic>
              </a:graphicData>
            </a:graphic>
          </wp:anchor>
        </w:drawing>
      </w:r>
    </w:p>
    <w:sectPr w:rsidR="00841D9C" w:rsidRPr="00036F7F" w:rsidSect="00C865D1">
      <w:headerReference w:type="default" r:id="rId11"/>
      <w:footerReference w:type="default" r:id="rId12"/>
      <w:headerReference w:type="first" r:id="rId13"/>
      <w:pgSz w:w="12242" w:h="18722" w:code="14"/>
      <w:pgMar w:top="2268" w:right="1610" w:bottom="1701" w:left="1843"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AEEFD" w16cid:durableId="2061E64D"/>
  <w16cid:commentId w16cid:paraId="09313764" w16cid:durableId="2061E64E"/>
  <w16cid:commentId w16cid:paraId="6834E6FA" w16cid:durableId="2061E722"/>
  <w16cid:commentId w16cid:paraId="7BF7811E" w16cid:durableId="2061E64F"/>
  <w16cid:commentId w16cid:paraId="45F0F4FB" w16cid:durableId="2061E910"/>
  <w16cid:commentId w16cid:paraId="6809B3BF" w16cid:durableId="2061E650"/>
  <w16cid:commentId w16cid:paraId="00736EB7" w16cid:durableId="2061E7A2"/>
  <w16cid:commentId w16cid:paraId="71E4FCC0" w16cid:durableId="2061E651"/>
  <w16cid:commentId w16cid:paraId="229514C0" w16cid:durableId="2061E85E"/>
  <w16cid:commentId w16cid:paraId="718770B3" w16cid:durableId="2061F87D"/>
  <w16cid:commentId w16cid:paraId="61647C79" w16cid:durableId="2061E653"/>
  <w16cid:commentId w16cid:paraId="2248715A" w16cid:durableId="2061EDBD"/>
  <w16cid:commentId w16cid:paraId="6B680686" w16cid:durableId="2061E654"/>
  <w16cid:commentId w16cid:paraId="7EA6B96A" w16cid:durableId="2061EDB0"/>
  <w16cid:commentId w16cid:paraId="15CAD763" w16cid:durableId="2061E655"/>
  <w16cid:commentId w16cid:paraId="1F8876A1" w16cid:durableId="2061ED22"/>
  <w16cid:commentId w16cid:paraId="354C1806" w16cid:durableId="2061E656"/>
  <w16cid:commentId w16cid:paraId="209BBAF1" w16cid:durableId="2061ED67"/>
  <w16cid:commentId w16cid:paraId="6051C970" w16cid:durableId="2061E657"/>
  <w16cid:commentId w16cid:paraId="5A3F7782" w16cid:durableId="2061ED8B"/>
  <w16cid:commentId w16cid:paraId="61E17B9B" w16cid:durableId="2061E658"/>
  <w16cid:commentId w16cid:paraId="3F5DDDE7" w16cid:durableId="2061ECAB"/>
  <w16cid:commentId w16cid:paraId="76B60D60" w16cid:durableId="2061E659"/>
  <w16cid:commentId w16cid:paraId="4F12AA64" w16cid:durableId="2061EE31"/>
  <w16cid:commentId w16cid:paraId="55C1C94F" w16cid:durableId="2061EEC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D19" w:rsidRDefault="00972D19" w:rsidP="00623B8E">
      <w:pPr>
        <w:spacing w:after="0" w:line="240" w:lineRule="auto"/>
      </w:pPr>
      <w:r>
        <w:separator/>
      </w:r>
    </w:p>
  </w:endnote>
  <w:endnote w:type="continuationSeparator" w:id="0">
    <w:p w:rsidR="00972D19" w:rsidRDefault="00972D19" w:rsidP="00623B8E">
      <w:pPr>
        <w:spacing w:after="0" w:line="240" w:lineRule="auto"/>
      </w:pPr>
      <w:r>
        <w:continuationSeparator/>
      </w:r>
    </w:p>
  </w:endnote>
  <w:endnote w:type="continuationNotice" w:id="1">
    <w:p w:rsidR="00972D19" w:rsidRDefault="00972D1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C1" w:rsidRDefault="00BF3DC1">
    <w:pPr>
      <w:pStyle w:val="Piedepgina"/>
    </w:pPr>
  </w:p>
  <w:p w:rsidR="00BF3DC1" w:rsidRDefault="00BF3D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D19" w:rsidRDefault="00972D19" w:rsidP="00623B8E">
      <w:pPr>
        <w:spacing w:after="0" w:line="240" w:lineRule="auto"/>
      </w:pPr>
      <w:r>
        <w:separator/>
      </w:r>
    </w:p>
  </w:footnote>
  <w:footnote w:type="continuationSeparator" w:id="0">
    <w:p w:rsidR="00972D19" w:rsidRDefault="00972D19" w:rsidP="00623B8E">
      <w:pPr>
        <w:spacing w:after="0" w:line="240" w:lineRule="auto"/>
      </w:pPr>
      <w:r>
        <w:continuationSeparator/>
      </w:r>
    </w:p>
  </w:footnote>
  <w:footnote w:type="continuationNotice" w:id="1">
    <w:p w:rsidR="00972D19" w:rsidRDefault="00972D1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1D" w:rsidRDefault="00E3390B" w:rsidP="0066271D">
    <w:pPr>
      <w:pStyle w:val="Encabezado"/>
      <w:tabs>
        <w:tab w:val="clear" w:pos="4419"/>
      </w:tabs>
      <w:ind w:firstLine="0"/>
      <w:jc w:val="center"/>
    </w:pPr>
    <w:r>
      <w:fldChar w:fldCharType="begin"/>
    </w:r>
    <w:r w:rsidR="0066271D">
      <w:instrText>PAGE   \* MERGEFORMAT</w:instrText>
    </w:r>
    <w:r>
      <w:fldChar w:fldCharType="separate"/>
    </w:r>
    <w:r w:rsidR="00212B9B" w:rsidRPr="00212B9B">
      <w:rPr>
        <w:noProof/>
        <w:lang w:val="es-ES"/>
      </w:rPr>
      <w:t>14</w:t>
    </w:r>
    <w:r>
      <w:fldChar w:fldCharType="end"/>
    </w:r>
  </w:p>
  <w:p w:rsidR="00623B8E" w:rsidRDefault="00623B8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1D" w:rsidRDefault="0066271D">
    <w:pPr>
      <w:pStyle w:val="Encabezado"/>
      <w:jc w:val="center"/>
    </w:pPr>
  </w:p>
  <w:p w:rsidR="00623B8E" w:rsidRDefault="00623B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459"/>
    <w:multiLevelType w:val="hybridMultilevel"/>
    <w:tmpl w:val="444A5A46"/>
    <w:lvl w:ilvl="0" w:tplc="0F00D58E">
      <w:start w:val="3"/>
      <w:numFmt w:val="lowerRoman"/>
      <w:lvlText w:val="(%1)"/>
      <w:lvlJc w:val="left"/>
      <w:pPr>
        <w:ind w:left="3915" w:hanging="1080"/>
      </w:pPr>
      <w:rPr>
        <w:rFonts w:eastAsia="Times New Roman"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nsid w:val="04264DD8"/>
    <w:multiLevelType w:val="hybridMultilevel"/>
    <w:tmpl w:val="33EA08C2"/>
    <w:lvl w:ilvl="0" w:tplc="5CA6DE6E">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nsid w:val="1F8016B2"/>
    <w:multiLevelType w:val="multilevel"/>
    <w:tmpl w:val="997A487A"/>
    <w:lvl w:ilvl="0">
      <w:start w:val="1"/>
      <w:numFmt w:val="upperRoman"/>
      <w:lvlText w:val="%1."/>
      <w:lvlJc w:val="left"/>
      <w:pPr>
        <w:tabs>
          <w:tab w:val="num" w:pos="260"/>
        </w:tabs>
        <w:ind w:left="260" w:hanging="709"/>
      </w:pPr>
      <w:rPr>
        <w:b/>
        <w:bCs w:val="0"/>
        <w:i w:val="0"/>
        <w:iCs w:val="0"/>
        <w:caps w:val="0"/>
        <w:smallCaps w:val="0"/>
        <w:strike w:val="0"/>
        <w:dstrike w:val="0"/>
        <w:vanish w:val="0"/>
        <w:webHidden w:val="0"/>
        <w:color w:val="000000"/>
        <w:spacing w:val="0"/>
        <w:kern w:val="0"/>
        <w:position w:val="0"/>
        <w:sz w:val="22"/>
        <w:u w:val="none"/>
        <w:effect w:val="none"/>
        <w:vertAlign w:val="baseline"/>
        <w:em w:val="none"/>
        <w:specVanish w:val="0"/>
      </w:rPr>
    </w:lvl>
    <w:lvl w:ilvl="1">
      <w:start w:val="1"/>
      <w:numFmt w:val="lowerLetter"/>
      <w:lvlText w:val="%2."/>
      <w:lvlJc w:val="left"/>
      <w:pPr>
        <w:tabs>
          <w:tab w:val="num" w:pos="991"/>
        </w:tabs>
        <w:ind w:left="991" w:hanging="360"/>
      </w:pPr>
      <w:rPr>
        <w:rFonts w:cs="Times New Roman"/>
      </w:rPr>
    </w:lvl>
    <w:lvl w:ilvl="2">
      <w:start w:val="1"/>
      <w:numFmt w:val="lowerRoman"/>
      <w:lvlText w:val="%3."/>
      <w:lvlJc w:val="right"/>
      <w:pPr>
        <w:tabs>
          <w:tab w:val="num" w:pos="1711"/>
        </w:tabs>
        <w:ind w:left="1711" w:hanging="180"/>
      </w:pPr>
      <w:rPr>
        <w:rFonts w:cs="Times New Roman"/>
      </w:rPr>
    </w:lvl>
    <w:lvl w:ilvl="3">
      <w:start w:val="1"/>
      <w:numFmt w:val="decimal"/>
      <w:lvlText w:val="%4."/>
      <w:lvlJc w:val="left"/>
      <w:pPr>
        <w:tabs>
          <w:tab w:val="num" w:pos="2431"/>
        </w:tabs>
        <w:ind w:left="2431" w:hanging="360"/>
      </w:pPr>
      <w:rPr>
        <w:rFonts w:cs="Times New Roman"/>
      </w:rPr>
    </w:lvl>
    <w:lvl w:ilvl="4">
      <w:start w:val="1"/>
      <w:numFmt w:val="decimal"/>
      <w:lvlText w:val="%5."/>
      <w:lvlJc w:val="left"/>
      <w:pPr>
        <w:tabs>
          <w:tab w:val="num" w:pos="3151"/>
        </w:tabs>
        <w:ind w:left="3151" w:hanging="360"/>
      </w:pPr>
      <w:rPr>
        <w:b/>
      </w:rPr>
    </w:lvl>
    <w:lvl w:ilvl="5">
      <w:start w:val="1"/>
      <w:numFmt w:val="lowerRoman"/>
      <w:lvlText w:val="%6."/>
      <w:lvlJc w:val="right"/>
      <w:pPr>
        <w:tabs>
          <w:tab w:val="num" w:pos="3871"/>
        </w:tabs>
        <w:ind w:left="3871" w:hanging="180"/>
      </w:pPr>
      <w:rPr>
        <w:rFonts w:cs="Times New Roman"/>
      </w:rPr>
    </w:lvl>
    <w:lvl w:ilvl="6">
      <w:start w:val="1"/>
      <w:numFmt w:val="decimal"/>
      <w:lvlText w:val="%7."/>
      <w:lvlJc w:val="left"/>
      <w:pPr>
        <w:tabs>
          <w:tab w:val="num" w:pos="4591"/>
        </w:tabs>
        <w:ind w:left="4591" w:hanging="360"/>
      </w:pPr>
      <w:rPr>
        <w:rFonts w:cs="Times New Roman"/>
      </w:rPr>
    </w:lvl>
    <w:lvl w:ilvl="7">
      <w:start w:val="1"/>
      <w:numFmt w:val="lowerLetter"/>
      <w:lvlText w:val="%8."/>
      <w:lvlJc w:val="left"/>
      <w:pPr>
        <w:tabs>
          <w:tab w:val="num" w:pos="5311"/>
        </w:tabs>
        <w:ind w:left="5311" w:hanging="360"/>
      </w:pPr>
      <w:rPr>
        <w:rFonts w:cs="Times New Roman"/>
      </w:rPr>
    </w:lvl>
    <w:lvl w:ilvl="8">
      <w:start w:val="1"/>
      <w:numFmt w:val="lowerRoman"/>
      <w:lvlText w:val="%9."/>
      <w:lvlJc w:val="right"/>
      <w:pPr>
        <w:tabs>
          <w:tab w:val="num" w:pos="6031"/>
        </w:tabs>
        <w:ind w:left="6031" w:hanging="180"/>
      </w:pPr>
      <w:rPr>
        <w:rFonts w:cs="Times New Roman"/>
      </w:rPr>
    </w:lvl>
  </w:abstractNum>
  <w:abstractNum w:abstractNumId="3">
    <w:nsid w:val="25DF14C1"/>
    <w:multiLevelType w:val="hybridMultilevel"/>
    <w:tmpl w:val="ADDA1890"/>
    <w:lvl w:ilvl="0" w:tplc="23700C14">
      <w:start w:val="1"/>
      <w:numFmt w:val="lowerRoman"/>
      <w:lvlText w:val="(%1)"/>
      <w:lvlJc w:val="left"/>
      <w:pPr>
        <w:ind w:left="3911" w:hanging="1080"/>
      </w:pPr>
      <w:rPr>
        <w:rFonts w:hint="default"/>
      </w:rPr>
    </w:lvl>
    <w:lvl w:ilvl="1" w:tplc="340A0019" w:tentative="1">
      <w:start w:val="1"/>
      <w:numFmt w:val="lowerLetter"/>
      <w:lvlText w:val="%2."/>
      <w:lvlJc w:val="left"/>
      <w:pPr>
        <w:ind w:left="3911" w:hanging="360"/>
      </w:pPr>
    </w:lvl>
    <w:lvl w:ilvl="2" w:tplc="340A001B" w:tentative="1">
      <w:start w:val="1"/>
      <w:numFmt w:val="lowerRoman"/>
      <w:lvlText w:val="%3."/>
      <w:lvlJc w:val="right"/>
      <w:pPr>
        <w:ind w:left="4631" w:hanging="180"/>
      </w:pPr>
    </w:lvl>
    <w:lvl w:ilvl="3" w:tplc="340A000F" w:tentative="1">
      <w:start w:val="1"/>
      <w:numFmt w:val="decimal"/>
      <w:lvlText w:val="%4."/>
      <w:lvlJc w:val="left"/>
      <w:pPr>
        <w:ind w:left="5351" w:hanging="360"/>
      </w:pPr>
    </w:lvl>
    <w:lvl w:ilvl="4" w:tplc="340A0019" w:tentative="1">
      <w:start w:val="1"/>
      <w:numFmt w:val="lowerLetter"/>
      <w:lvlText w:val="%5."/>
      <w:lvlJc w:val="left"/>
      <w:pPr>
        <w:ind w:left="6071" w:hanging="360"/>
      </w:pPr>
    </w:lvl>
    <w:lvl w:ilvl="5" w:tplc="340A001B" w:tentative="1">
      <w:start w:val="1"/>
      <w:numFmt w:val="lowerRoman"/>
      <w:lvlText w:val="%6."/>
      <w:lvlJc w:val="right"/>
      <w:pPr>
        <w:ind w:left="6791" w:hanging="180"/>
      </w:pPr>
    </w:lvl>
    <w:lvl w:ilvl="6" w:tplc="340A000F" w:tentative="1">
      <w:start w:val="1"/>
      <w:numFmt w:val="decimal"/>
      <w:lvlText w:val="%7."/>
      <w:lvlJc w:val="left"/>
      <w:pPr>
        <w:ind w:left="7511" w:hanging="360"/>
      </w:pPr>
    </w:lvl>
    <w:lvl w:ilvl="7" w:tplc="340A0019" w:tentative="1">
      <w:start w:val="1"/>
      <w:numFmt w:val="lowerLetter"/>
      <w:lvlText w:val="%8."/>
      <w:lvlJc w:val="left"/>
      <w:pPr>
        <w:ind w:left="8231" w:hanging="360"/>
      </w:pPr>
    </w:lvl>
    <w:lvl w:ilvl="8" w:tplc="340A001B" w:tentative="1">
      <w:start w:val="1"/>
      <w:numFmt w:val="lowerRoman"/>
      <w:lvlText w:val="%9."/>
      <w:lvlJc w:val="right"/>
      <w:pPr>
        <w:ind w:left="8951" w:hanging="180"/>
      </w:pPr>
    </w:lvl>
  </w:abstractNum>
  <w:abstractNum w:abstractNumId="4">
    <w:nsid w:val="43317927"/>
    <w:multiLevelType w:val="hybridMultilevel"/>
    <w:tmpl w:val="5D701D3A"/>
    <w:lvl w:ilvl="0" w:tplc="7D04654C">
      <w:start w:val="1"/>
      <w:numFmt w:val="lowerRoman"/>
      <w:lvlText w:val="(%1)"/>
      <w:lvlJc w:val="left"/>
      <w:pPr>
        <w:ind w:left="3558" w:hanging="360"/>
      </w:pPr>
      <w:rPr>
        <w:rFonts w:hint="default"/>
      </w:rPr>
    </w:lvl>
    <w:lvl w:ilvl="1" w:tplc="340A0019" w:tentative="1">
      <w:start w:val="1"/>
      <w:numFmt w:val="lowerLetter"/>
      <w:lvlText w:val="%2."/>
      <w:lvlJc w:val="left"/>
      <w:pPr>
        <w:ind w:left="4278" w:hanging="360"/>
      </w:pPr>
    </w:lvl>
    <w:lvl w:ilvl="2" w:tplc="340A001B" w:tentative="1">
      <w:start w:val="1"/>
      <w:numFmt w:val="lowerRoman"/>
      <w:lvlText w:val="%3."/>
      <w:lvlJc w:val="right"/>
      <w:pPr>
        <w:ind w:left="4998" w:hanging="180"/>
      </w:pPr>
    </w:lvl>
    <w:lvl w:ilvl="3" w:tplc="340A000F" w:tentative="1">
      <w:start w:val="1"/>
      <w:numFmt w:val="decimal"/>
      <w:lvlText w:val="%4."/>
      <w:lvlJc w:val="left"/>
      <w:pPr>
        <w:ind w:left="5718" w:hanging="360"/>
      </w:pPr>
    </w:lvl>
    <w:lvl w:ilvl="4" w:tplc="340A0019" w:tentative="1">
      <w:start w:val="1"/>
      <w:numFmt w:val="lowerLetter"/>
      <w:lvlText w:val="%5."/>
      <w:lvlJc w:val="left"/>
      <w:pPr>
        <w:ind w:left="6438" w:hanging="360"/>
      </w:pPr>
    </w:lvl>
    <w:lvl w:ilvl="5" w:tplc="340A001B" w:tentative="1">
      <w:start w:val="1"/>
      <w:numFmt w:val="lowerRoman"/>
      <w:lvlText w:val="%6."/>
      <w:lvlJc w:val="right"/>
      <w:pPr>
        <w:ind w:left="7158" w:hanging="180"/>
      </w:pPr>
    </w:lvl>
    <w:lvl w:ilvl="6" w:tplc="340A000F" w:tentative="1">
      <w:start w:val="1"/>
      <w:numFmt w:val="decimal"/>
      <w:lvlText w:val="%7."/>
      <w:lvlJc w:val="left"/>
      <w:pPr>
        <w:ind w:left="7878" w:hanging="360"/>
      </w:pPr>
    </w:lvl>
    <w:lvl w:ilvl="7" w:tplc="340A0019" w:tentative="1">
      <w:start w:val="1"/>
      <w:numFmt w:val="lowerLetter"/>
      <w:lvlText w:val="%8."/>
      <w:lvlJc w:val="left"/>
      <w:pPr>
        <w:ind w:left="8598" w:hanging="360"/>
      </w:pPr>
    </w:lvl>
    <w:lvl w:ilvl="8" w:tplc="340A001B" w:tentative="1">
      <w:start w:val="1"/>
      <w:numFmt w:val="lowerRoman"/>
      <w:lvlText w:val="%9."/>
      <w:lvlJc w:val="right"/>
      <w:pPr>
        <w:ind w:left="9318" w:hanging="180"/>
      </w:pPr>
    </w:lvl>
  </w:abstractNum>
  <w:abstractNum w:abstractNumId="5">
    <w:nsid w:val="463820F6"/>
    <w:multiLevelType w:val="hybridMultilevel"/>
    <w:tmpl w:val="A9A46E22"/>
    <w:lvl w:ilvl="0" w:tplc="7D04654C">
      <w:start w:val="1"/>
      <w:numFmt w:val="lowerRoman"/>
      <w:lvlText w:val="(%1)"/>
      <w:lvlJc w:val="left"/>
      <w:pPr>
        <w:ind w:left="3915" w:hanging="108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4BA9586B"/>
    <w:multiLevelType w:val="multilevel"/>
    <w:tmpl w:val="AE86E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EED1022"/>
    <w:multiLevelType w:val="multilevel"/>
    <w:tmpl w:val="2C729194"/>
    <w:lvl w:ilvl="0">
      <w:start w:val="1"/>
      <w:numFmt w:val="upperRoman"/>
      <w:pStyle w:val="Ttulo1"/>
      <w:lvlText w:val="%1."/>
      <w:lvlJc w:val="left"/>
      <w:pPr>
        <w:tabs>
          <w:tab w:val="num" w:pos="260"/>
        </w:tabs>
        <w:ind w:left="260" w:hanging="709"/>
      </w:pPr>
      <w:rPr>
        <w:b w:val="0"/>
        <w:bCs w:val="0"/>
        <w:i w:val="0"/>
        <w:iCs w:val="0"/>
        <w:caps w:val="0"/>
        <w:smallCaps w:val="0"/>
        <w:strike w:val="0"/>
        <w:dstrike w:val="0"/>
        <w:vanish w:val="0"/>
        <w:webHidden w:val="0"/>
        <w:color w:val="000000"/>
        <w:spacing w:val="0"/>
        <w:kern w:val="0"/>
        <w:position w:val="0"/>
        <w:sz w:val="22"/>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tulo2"/>
      <w:lvlText w:val="%4."/>
      <w:lvlJc w:val="left"/>
      <w:pPr>
        <w:tabs>
          <w:tab w:val="num" w:pos="2431"/>
        </w:tabs>
        <w:ind w:left="2431" w:hanging="360"/>
      </w:pPr>
      <w:rPr>
        <w:rFonts w:cs="Times New Roman"/>
      </w:rPr>
    </w:lvl>
    <w:lvl w:ilvl="4">
      <w:start w:val="1"/>
      <w:numFmt w:val="lowerLetter"/>
      <w:pStyle w:val="Ttulo3"/>
      <w:lvlText w:val="%5."/>
      <w:lvlJc w:val="left"/>
      <w:pPr>
        <w:tabs>
          <w:tab w:val="num" w:pos="3151"/>
        </w:tabs>
        <w:ind w:left="3151" w:hanging="360"/>
      </w:pPr>
      <w:rPr>
        <w:rFonts w:cs="Times New Roman"/>
      </w:rPr>
    </w:lvl>
    <w:lvl w:ilvl="5">
      <w:start w:val="1"/>
      <w:numFmt w:val="decimal"/>
      <w:pStyle w:val="Ttulo6"/>
      <w:lvlText w:val="%1.%4.%5.%6"/>
      <w:lvlJc w:val="left"/>
      <w:pPr>
        <w:ind w:left="3240" w:hanging="108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F1E09FE"/>
    <w:multiLevelType w:val="multilevel"/>
    <w:tmpl w:val="1C065D40"/>
    <w:lvl w:ilvl="0">
      <w:start w:val="1"/>
      <w:numFmt w:val="decimal"/>
      <w:lvlText w:val="%1."/>
      <w:lvlJc w:val="left"/>
      <w:pPr>
        <w:ind w:left="3195" w:hanging="360"/>
      </w:pPr>
      <w:rPr>
        <w:b/>
        <w:sz w:val="24"/>
        <w:lang w:val="es-ES_tradnl"/>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9">
    <w:nsid w:val="61706306"/>
    <w:multiLevelType w:val="hybridMultilevel"/>
    <w:tmpl w:val="07CA4C82"/>
    <w:lvl w:ilvl="0" w:tplc="75443402">
      <w:start w:val="1"/>
      <w:numFmt w:val="lowerRoman"/>
      <w:lvlText w:val="(%1)"/>
      <w:lvlJc w:val="left"/>
      <w:pPr>
        <w:ind w:left="3555" w:hanging="360"/>
      </w:pPr>
      <w:rPr>
        <w:rFonts w:hint="default"/>
        <w:b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nsid w:val="70497763"/>
    <w:multiLevelType w:val="hybridMultilevel"/>
    <w:tmpl w:val="160E8804"/>
    <w:lvl w:ilvl="0" w:tplc="B73ABA9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nsid w:val="7B2E5BE0"/>
    <w:multiLevelType w:val="hybridMultilevel"/>
    <w:tmpl w:val="8E2C8EFE"/>
    <w:lvl w:ilvl="0" w:tplc="BC522284">
      <w:start w:val="1"/>
      <w:numFmt w:val="decimal"/>
      <w:lvlText w:val="%1)"/>
      <w:lvlJc w:val="left"/>
      <w:pPr>
        <w:ind w:left="3495" w:hanging="6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9"/>
  </w:num>
  <w:num w:numId="7">
    <w:abstractNumId w:val="5"/>
  </w:num>
  <w:num w:numId="8">
    <w:abstractNumId w:val="4"/>
  </w:num>
  <w:num w:numId="9">
    <w:abstractNumId w:val="3"/>
  </w:num>
  <w:num w:numId="10">
    <w:abstractNumId w:val="1"/>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rsids>
    <w:rsidRoot w:val="00C465BE"/>
    <w:rsid w:val="00036F7F"/>
    <w:rsid w:val="000507B6"/>
    <w:rsid w:val="00054E3C"/>
    <w:rsid w:val="000615B8"/>
    <w:rsid w:val="0006351E"/>
    <w:rsid w:val="00064E3A"/>
    <w:rsid w:val="00064F71"/>
    <w:rsid w:val="000727C7"/>
    <w:rsid w:val="00077E5F"/>
    <w:rsid w:val="00084BF8"/>
    <w:rsid w:val="00093A35"/>
    <w:rsid w:val="000A40F3"/>
    <w:rsid w:val="000C6C54"/>
    <w:rsid w:val="001022A5"/>
    <w:rsid w:val="00103BAA"/>
    <w:rsid w:val="001073F4"/>
    <w:rsid w:val="00110050"/>
    <w:rsid w:val="00163478"/>
    <w:rsid w:val="0016586E"/>
    <w:rsid w:val="00175765"/>
    <w:rsid w:val="00175E85"/>
    <w:rsid w:val="00181126"/>
    <w:rsid w:val="00196AC7"/>
    <w:rsid w:val="001B66BD"/>
    <w:rsid w:val="001E5F79"/>
    <w:rsid w:val="001F2964"/>
    <w:rsid w:val="001F2CBA"/>
    <w:rsid w:val="002037C5"/>
    <w:rsid w:val="002048D2"/>
    <w:rsid w:val="00211016"/>
    <w:rsid w:val="0021145A"/>
    <w:rsid w:val="00212B9B"/>
    <w:rsid w:val="00213309"/>
    <w:rsid w:val="002165EA"/>
    <w:rsid w:val="00220FA4"/>
    <w:rsid w:val="00222C1D"/>
    <w:rsid w:val="00224479"/>
    <w:rsid w:val="002339AF"/>
    <w:rsid w:val="0023626E"/>
    <w:rsid w:val="00252499"/>
    <w:rsid w:val="00264817"/>
    <w:rsid w:val="0029388F"/>
    <w:rsid w:val="00293EAE"/>
    <w:rsid w:val="002A171F"/>
    <w:rsid w:val="002B120D"/>
    <w:rsid w:val="002C592C"/>
    <w:rsid w:val="00307C00"/>
    <w:rsid w:val="00310A0A"/>
    <w:rsid w:val="00312290"/>
    <w:rsid w:val="00324E08"/>
    <w:rsid w:val="00340065"/>
    <w:rsid w:val="00380E24"/>
    <w:rsid w:val="0039116A"/>
    <w:rsid w:val="003A1B8A"/>
    <w:rsid w:val="003A2152"/>
    <w:rsid w:val="003C0487"/>
    <w:rsid w:val="003E01F9"/>
    <w:rsid w:val="003E0A15"/>
    <w:rsid w:val="00423234"/>
    <w:rsid w:val="00423906"/>
    <w:rsid w:val="00427954"/>
    <w:rsid w:val="0043416D"/>
    <w:rsid w:val="0044260D"/>
    <w:rsid w:val="00492A86"/>
    <w:rsid w:val="004A23CD"/>
    <w:rsid w:val="004B46FA"/>
    <w:rsid w:val="004B4BE5"/>
    <w:rsid w:val="004D67D7"/>
    <w:rsid w:val="004E46B5"/>
    <w:rsid w:val="004F097D"/>
    <w:rsid w:val="004F262A"/>
    <w:rsid w:val="004F4987"/>
    <w:rsid w:val="004F5E13"/>
    <w:rsid w:val="00511398"/>
    <w:rsid w:val="0054045E"/>
    <w:rsid w:val="0055746A"/>
    <w:rsid w:val="00573958"/>
    <w:rsid w:val="005775EA"/>
    <w:rsid w:val="00577814"/>
    <w:rsid w:val="00590897"/>
    <w:rsid w:val="00595318"/>
    <w:rsid w:val="005A3E9E"/>
    <w:rsid w:val="005A4080"/>
    <w:rsid w:val="005A5A6C"/>
    <w:rsid w:val="005B7EC8"/>
    <w:rsid w:val="005F19A4"/>
    <w:rsid w:val="005F36A2"/>
    <w:rsid w:val="00600E7D"/>
    <w:rsid w:val="00623B8E"/>
    <w:rsid w:val="00633212"/>
    <w:rsid w:val="00637468"/>
    <w:rsid w:val="00653AC3"/>
    <w:rsid w:val="00657DDC"/>
    <w:rsid w:val="0066271D"/>
    <w:rsid w:val="00671800"/>
    <w:rsid w:val="006B4F08"/>
    <w:rsid w:val="006C1424"/>
    <w:rsid w:val="006D1F25"/>
    <w:rsid w:val="006E10FF"/>
    <w:rsid w:val="006F15C2"/>
    <w:rsid w:val="00700224"/>
    <w:rsid w:val="00744377"/>
    <w:rsid w:val="0076022A"/>
    <w:rsid w:val="007777D0"/>
    <w:rsid w:val="00787272"/>
    <w:rsid w:val="00795BDF"/>
    <w:rsid w:val="00796D33"/>
    <w:rsid w:val="007B6EC0"/>
    <w:rsid w:val="007E0B7B"/>
    <w:rsid w:val="007F42B4"/>
    <w:rsid w:val="00803748"/>
    <w:rsid w:val="00804977"/>
    <w:rsid w:val="008108BE"/>
    <w:rsid w:val="008135D6"/>
    <w:rsid w:val="00841D9C"/>
    <w:rsid w:val="008471A2"/>
    <w:rsid w:val="008567B5"/>
    <w:rsid w:val="00860165"/>
    <w:rsid w:val="00866A21"/>
    <w:rsid w:val="00876A9E"/>
    <w:rsid w:val="008B3ADF"/>
    <w:rsid w:val="008B4EE8"/>
    <w:rsid w:val="008B5C1F"/>
    <w:rsid w:val="008C34A5"/>
    <w:rsid w:val="008D4327"/>
    <w:rsid w:val="008E3E93"/>
    <w:rsid w:val="008F66FF"/>
    <w:rsid w:val="00902E84"/>
    <w:rsid w:val="009242E4"/>
    <w:rsid w:val="00932960"/>
    <w:rsid w:val="009563DF"/>
    <w:rsid w:val="00970C96"/>
    <w:rsid w:val="00972D19"/>
    <w:rsid w:val="0098530A"/>
    <w:rsid w:val="00994034"/>
    <w:rsid w:val="009A707E"/>
    <w:rsid w:val="009D6C58"/>
    <w:rsid w:val="009D7354"/>
    <w:rsid w:val="009F3963"/>
    <w:rsid w:val="00A04846"/>
    <w:rsid w:val="00A049DA"/>
    <w:rsid w:val="00A112F8"/>
    <w:rsid w:val="00A11A87"/>
    <w:rsid w:val="00A2445D"/>
    <w:rsid w:val="00A266FD"/>
    <w:rsid w:val="00A275A6"/>
    <w:rsid w:val="00A3156C"/>
    <w:rsid w:val="00A441E6"/>
    <w:rsid w:val="00A46A6A"/>
    <w:rsid w:val="00A647F8"/>
    <w:rsid w:val="00A64B9E"/>
    <w:rsid w:val="00A66E4E"/>
    <w:rsid w:val="00A973B2"/>
    <w:rsid w:val="00AB6373"/>
    <w:rsid w:val="00AC4158"/>
    <w:rsid w:val="00AD1E18"/>
    <w:rsid w:val="00AE4C53"/>
    <w:rsid w:val="00B0252D"/>
    <w:rsid w:val="00B0580B"/>
    <w:rsid w:val="00B14D61"/>
    <w:rsid w:val="00B26108"/>
    <w:rsid w:val="00B3497B"/>
    <w:rsid w:val="00B36B60"/>
    <w:rsid w:val="00B40741"/>
    <w:rsid w:val="00B51B4A"/>
    <w:rsid w:val="00B6473E"/>
    <w:rsid w:val="00B65C6E"/>
    <w:rsid w:val="00B70A1B"/>
    <w:rsid w:val="00B77759"/>
    <w:rsid w:val="00B84C82"/>
    <w:rsid w:val="00B8741F"/>
    <w:rsid w:val="00BA154C"/>
    <w:rsid w:val="00BB1D87"/>
    <w:rsid w:val="00BE5AAA"/>
    <w:rsid w:val="00BF3DC1"/>
    <w:rsid w:val="00C13120"/>
    <w:rsid w:val="00C3126B"/>
    <w:rsid w:val="00C31D94"/>
    <w:rsid w:val="00C32087"/>
    <w:rsid w:val="00C327DD"/>
    <w:rsid w:val="00C34806"/>
    <w:rsid w:val="00C42A31"/>
    <w:rsid w:val="00C465BE"/>
    <w:rsid w:val="00C54E76"/>
    <w:rsid w:val="00C57833"/>
    <w:rsid w:val="00C8612F"/>
    <w:rsid w:val="00C865D1"/>
    <w:rsid w:val="00C87BE7"/>
    <w:rsid w:val="00CD3510"/>
    <w:rsid w:val="00CE5862"/>
    <w:rsid w:val="00D27AEE"/>
    <w:rsid w:val="00D404E4"/>
    <w:rsid w:val="00D5158E"/>
    <w:rsid w:val="00D5533C"/>
    <w:rsid w:val="00D75843"/>
    <w:rsid w:val="00D81BB4"/>
    <w:rsid w:val="00D92C03"/>
    <w:rsid w:val="00DB0EDE"/>
    <w:rsid w:val="00DE645C"/>
    <w:rsid w:val="00E0295A"/>
    <w:rsid w:val="00E2461A"/>
    <w:rsid w:val="00E3390B"/>
    <w:rsid w:val="00E4799E"/>
    <w:rsid w:val="00E67B3E"/>
    <w:rsid w:val="00E73260"/>
    <w:rsid w:val="00E761BF"/>
    <w:rsid w:val="00EC55BE"/>
    <w:rsid w:val="00F000D8"/>
    <w:rsid w:val="00F06BD9"/>
    <w:rsid w:val="00F232D0"/>
    <w:rsid w:val="00F262C9"/>
    <w:rsid w:val="00F308F2"/>
    <w:rsid w:val="00F30D86"/>
    <w:rsid w:val="00F501B8"/>
    <w:rsid w:val="00F504F8"/>
    <w:rsid w:val="00F64E6A"/>
    <w:rsid w:val="00F667DF"/>
    <w:rsid w:val="00F95898"/>
    <w:rsid w:val="00FA76D5"/>
    <w:rsid w:val="00FD5B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76"/>
    <w:pPr>
      <w:spacing w:after="198" w:line="276" w:lineRule="auto"/>
      <w:ind w:firstLine="2835"/>
    </w:pPr>
    <w:rPr>
      <w:sz w:val="22"/>
      <w:szCs w:val="22"/>
      <w:lang w:val="es-CL" w:eastAsia="en-US"/>
    </w:rPr>
  </w:style>
  <w:style w:type="paragraph" w:styleId="Ttulo1">
    <w:name w:val="heading 1"/>
    <w:basedOn w:val="Normal"/>
    <w:next w:val="Normal"/>
    <w:link w:val="Ttulo1Car"/>
    <w:uiPriority w:val="9"/>
    <w:qFormat/>
    <w:rsid w:val="00C54E76"/>
    <w:pPr>
      <w:keepNext/>
      <w:numPr>
        <w:numId w:val="1"/>
      </w:numPr>
      <w:spacing w:before="360" w:after="240" w:line="240" w:lineRule="auto"/>
      <w:ind w:left="3544" w:firstLine="0"/>
      <w:jc w:val="both"/>
      <w:outlineLvl w:val="0"/>
    </w:pPr>
    <w:rPr>
      <w:rFonts w:ascii="Courier New" w:eastAsia="Times New Roman" w:hAnsi="Courier New" w:cs="Arial"/>
      <w:b/>
      <w:bCs/>
      <w:caps/>
      <w:kern w:val="2"/>
      <w:sz w:val="24"/>
      <w:szCs w:val="32"/>
      <w:lang w:val="es-ES_tradnl" w:eastAsia="es-ES"/>
    </w:rPr>
  </w:style>
  <w:style w:type="paragraph" w:styleId="Ttulo2">
    <w:name w:val="heading 2"/>
    <w:basedOn w:val="Normal"/>
    <w:next w:val="Normal"/>
    <w:link w:val="Ttulo2Car"/>
    <w:uiPriority w:val="9"/>
    <w:unhideWhenUsed/>
    <w:qFormat/>
    <w:rsid w:val="00C54E76"/>
    <w:pPr>
      <w:keepNext/>
      <w:widowControl w:val="0"/>
      <w:numPr>
        <w:ilvl w:val="3"/>
        <w:numId w:val="1"/>
      </w:numPr>
      <w:spacing w:before="240" w:after="240"/>
      <w:jc w:val="both"/>
      <w:outlineLvl w:val="1"/>
    </w:pPr>
    <w:rPr>
      <w:rFonts w:ascii="Courier New" w:eastAsia="Times New Roman" w:hAnsi="Courier New" w:cs="Courier New"/>
      <w:b/>
      <w:sz w:val="24"/>
    </w:rPr>
  </w:style>
  <w:style w:type="paragraph" w:styleId="Ttulo3">
    <w:name w:val="heading 3"/>
    <w:basedOn w:val="Normal"/>
    <w:next w:val="Normal"/>
    <w:link w:val="Ttulo3Car"/>
    <w:uiPriority w:val="9"/>
    <w:semiHidden/>
    <w:unhideWhenUsed/>
    <w:qFormat/>
    <w:rsid w:val="00C54E76"/>
    <w:pPr>
      <w:widowControl w:val="0"/>
      <w:numPr>
        <w:ilvl w:val="4"/>
        <w:numId w:val="1"/>
      </w:numPr>
      <w:ind w:left="3544" w:hanging="709"/>
      <w:jc w:val="both"/>
      <w:outlineLvl w:val="2"/>
    </w:pPr>
    <w:rPr>
      <w:rFonts w:ascii="Courier New" w:eastAsia="Times New Roman" w:hAnsi="Courier New" w:cs="Courier New"/>
      <w:b/>
      <w:sz w:val="24"/>
    </w:rPr>
  </w:style>
  <w:style w:type="paragraph" w:styleId="Ttulo6">
    <w:name w:val="heading 6"/>
    <w:basedOn w:val="Normal"/>
    <w:next w:val="Normal"/>
    <w:link w:val="Ttulo6Car"/>
    <w:uiPriority w:val="9"/>
    <w:semiHidden/>
    <w:unhideWhenUsed/>
    <w:qFormat/>
    <w:rsid w:val="00C54E76"/>
    <w:pPr>
      <w:widowControl w:val="0"/>
      <w:numPr>
        <w:ilvl w:val="5"/>
        <w:numId w:val="1"/>
      </w:numPr>
      <w:jc w:val="both"/>
      <w:outlineLvl w:val="5"/>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C54E76"/>
    <w:rPr>
      <w:rFonts w:ascii="Courier New" w:eastAsia="Times New Roman" w:hAnsi="Courier New" w:cs="Arial"/>
      <w:b/>
      <w:bCs/>
      <w:caps/>
      <w:kern w:val="2"/>
      <w:sz w:val="24"/>
      <w:szCs w:val="32"/>
      <w:lang w:val="es-ES_tradnl" w:eastAsia="es-ES"/>
    </w:rPr>
  </w:style>
  <w:style w:type="character" w:customStyle="1" w:styleId="Ttulo2Car">
    <w:name w:val="Título 2 Car"/>
    <w:basedOn w:val="Fuentedeprrafopredeter"/>
    <w:link w:val="Ttulo2"/>
    <w:uiPriority w:val="9"/>
    <w:qFormat/>
    <w:rsid w:val="00C54E76"/>
    <w:rPr>
      <w:rFonts w:ascii="Courier New" w:eastAsia="Times New Roman" w:hAnsi="Courier New" w:cs="Courier New"/>
      <w:b/>
      <w:sz w:val="24"/>
    </w:rPr>
  </w:style>
  <w:style w:type="character" w:customStyle="1" w:styleId="Ttulo3Car">
    <w:name w:val="Título 3 Car"/>
    <w:basedOn w:val="Fuentedeprrafopredeter"/>
    <w:link w:val="Ttulo3"/>
    <w:uiPriority w:val="9"/>
    <w:semiHidden/>
    <w:rsid w:val="00C54E76"/>
    <w:rPr>
      <w:rFonts w:ascii="Courier New" w:eastAsia="Times New Roman" w:hAnsi="Courier New" w:cs="Courier New"/>
      <w:b/>
      <w:sz w:val="24"/>
    </w:rPr>
  </w:style>
  <w:style w:type="character" w:customStyle="1" w:styleId="Ttulo6Car">
    <w:name w:val="Título 6 Car"/>
    <w:basedOn w:val="Fuentedeprrafopredeter"/>
    <w:link w:val="Ttulo6"/>
    <w:uiPriority w:val="9"/>
    <w:semiHidden/>
    <w:rsid w:val="00C54E76"/>
    <w:rPr>
      <w:rFonts w:eastAsia="Times New Roman" w:cs="Times New Roman"/>
    </w:rPr>
  </w:style>
  <w:style w:type="paragraph" w:styleId="Prrafodelista">
    <w:name w:val="List Paragraph"/>
    <w:basedOn w:val="Normal"/>
    <w:uiPriority w:val="34"/>
    <w:qFormat/>
    <w:rsid w:val="00211016"/>
    <w:pPr>
      <w:ind w:left="720"/>
      <w:contextualSpacing/>
    </w:pPr>
  </w:style>
  <w:style w:type="character" w:styleId="Refdecomentario">
    <w:name w:val="annotation reference"/>
    <w:basedOn w:val="Fuentedeprrafopredeter"/>
    <w:uiPriority w:val="99"/>
    <w:semiHidden/>
    <w:unhideWhenUsed/>
    <w:rsid w:val="00C42A31"/>
    <w:rPr>
      <w:sz w:val="16"/>
      <w:szCs w:val="16"/>
    </w:rPr>
  </w:style>
  <w:style w:type="paragraph" w:styleId="Textocomentario">
    <w:name w:val="annotation text"/>
    <w:basedOn w:val="Normal"/>
    <w:link w:val="TextocomentarioCar"/>
    <w:uiPriority w:val="99"/>
    <w:semiHidden/>
    <w:unhideWhenUsed/>
    <w:rsid w:val="00C42A31"/>
    <w:pPr>
      <w:spacing w:after="200" w:line="240" w:lineRule="auto"/>
      <w:ind w:firstLine="0"/>
    </w:pPr>
    <w:rPr>
      <w:sz w:val="20"/>
      <w:szCs w:val="20"/>
    </w:rPr>
  </w:style>
  <w:style w:type="character" w:customStyle="1" w:styleId="TextocomentarioCar">
    <w:name w:val="Texto comentario Car"/>
    <w:basedOn w:val="Fuentedeprrafopredeter"/>
    <w:link w:val="Textocomentario"/>
    <w:uiPriority w:val="99"/>
    <w:semiHidden/>
    <w:rsid w:val="00C42A31"/>
    <w:rPr>
      <w:sz w:val="20"/>
      <w:szCs w:val="20"/>
    </w:rPr>
  </w:style>
  <w:style w:type="paragraph" w:styleId="Textodeglobo">
    <w:name w:val="Balloon Text"/>
    <w:basedOn w:val="Normal"/>
    <w:link w:val="TextodegloboCar"/>
    <w:uiPriority w:val="99"/>
    <w:semiHidden/>
    <w:unhideWhenUsed/>
    <w:rsid w:val="00C42A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A31"/>
    <w:rPr>
      <w:rFonts w:ascii="Segoe UI" w:hAnsi="Segoe UI" w:cs="Segoe UI"/>
      <w:sz w:val="18"/>
      <w:szCs w:val="18"/>
    </w:rPr>
  </w:style>
  <w:style w:type="paragraph" w:styleId="Encabezado">
    <w:name w:val="header"/>
    <w:basedOn w:val="Normal"/>
    <w:link w:val="EncabezadoCar"/>
    <w:uiPriority w:val="99"/>
    <w:unhideWhenUsed/>
    <w:rsid w:val="00623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3B8E"/>
  </w:style>
  <w:style w:type="paragraph" w:styleId="Piedepgina">
    <w:name w:val="footer"/>
    <w:basedOn w:val="Normal"/>
    <w:link w:val="PiedepginaCar"/>
    <w:uiPriority w:val="99"/>
    <w:unhideWhenUsed/>
    <w:rsid w:val="00623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3B8E"/>
  </w:style>
  <w:style w:type="paragraph" w:styleId="Asuntodelcomentario">
    <w:name w:val="annotation subject"/>
    <w:basedOn w:val="Textocomentario"/>
    <w:next w:val="Textocomentario"/>
    <w:link w:val="AsuntodelcomentarioCar"/>
    <w:uiPriority w:val="99"/>
    <w:semiHidden/>
    <w:unhideWhenUsed/>
    <w:rsid w:val="00623B8E"/>
    <w:pPr>
      <w:spacing w:after="198"/>
      <w:ind w:firstLine="2835"/>
    </w:pPr>
    <w:rPr>
      <w:b/>
      <w:bCs/>
    </w:rPr>
  </w:style>
  <w:style w:type="character" w:customStyle="1" w:styleId="AsuntodelcomentarioCar">
    <w:name w:val="Asunto del comentario Car"/>
    <w:basedOn w:val="TextocomentarioCar"/>
    <w:link w:val="Asuntodelcomentario"/>
    <w:uiPriority w:val="99"/>
    <w:semiHidden/>
    <w:rsid w:val="00623B8E"/>
    <w:rPr>
      <w:b/>
      <w:bCs/>
      <w:sz w:val="20"/>
      <w:szCs w:val="20"/>
    </w:rPr>
  </w:style>
  <w:style w:type="paragraph" w:styleId="Revisin">
    <w:name w:val="Revision"/>
    <w:hidden/>
    <w:uiPriority w:val="99"/>
    <w:semiHidden/>
    <w:rsid w:val="00623B8E"/>
    <w:rPr>
      <w:sz w:val="22"/>
      <w:szCs w:val="22"/>
      <w:lang w:val="es-CL" w:eastAsia="en-US"/>
    </w:rPr>
  </w:style>
</w:styles>
</file>

<file path=word/webSettings.xml><?xml version="1.0" encoding="utf-8"?>
<w:webSettings xmlns:r="http://schemas.openxmlformats.org/officeDocument/2006/relationships" xmlns:w="http://schemas.openxmlformats.org/wordprocessingml/2006/main">
  <w:divs>
    <w:div w:id="1029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3514</Words>
  <Characters>19327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Manríquez Roa</dc:creator>
  <cp:lastModifiedBy>Guillermo Diaz Vallejos</cp:lastModifiedBy>
  <cp:revision>2</cp:revision>
  <cp:lastPrinted>2019-04-18T01:14:00Z</cp:lastPrinted>
  <dcterms:created xsi:type="dcterms:W3CDTF">2019-04-23T16:16:00Z</dcterms:created>
  <dcterms:modified xsi:type="dcterms:W3CDTF">2019-04-23T16:16:00Z</dcterms:modified>
</cp:coreProperties>
</file>