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99" w:rsidRDefault="00521BC3">
      <w:pPr>
        <w:spacing w:line="360" w:lineRule="auto"/>
        <w:jc w:val="center"/>
        <w:rPr>
          <w:rFonts w:ascii="Palatino Linotype" w:eastAsia="Times New Roman" w:hAnsi="Palatino Linotype" w:cs="Times New Roman"/>
          <w:b/>
          <w:smallCaps/>
          <w:sz w:val="22"/>
          <w:szCs w:val="22"/>
        </w:rPr>
      </w:pPr>
      <w:r w:rsidRPr="00521BC3">
        <w:rPr>
          <w:rFonts w:ascii="Palatino Linotype" w:eastAsia="Times New Roman" w:hAnsi="Palatino Linotype" w:cs="Times New Roman"/>
          <w:b/>
          <w:smallCaps/>
          <w:sz w:val="22"/>
          <w:szCs w:val="22"/>
        </w:rPr>
        <w:t>Declara el 16 de noviembre de cada año como el Día Nacional de la Tolerancia</w:t>
      </w:r>
    </w:p>
    <w:p w:rsidR="00521BC3" w:rsidRDefault="00521BC3">
      <w:pPr>
        <w:spacing w:line="360" w:lineRule="auto"/>
        <w:jc w:val="center"/>
        <w:rPr>
          <w:rFonts w:ascii="Palatino Linotype" w:eastAsia="Times New Roman" w:hAnsi="Palatino Linotype" w:cs="Times New Roman"/>
          <w:b/>
          <w:smallCaps/>
          <w:sz w:val="22"/>
          <w:szCs w:val="22"/>
        </w:rPr>
      </w:pPr>
      <w:r>
        <w:rPr>
          <w:rFonts w:ascii="Palatino Linotype" w:eastAsia="Times New Roman" w:hAnsi="Palatino Linotype" w:cs="Times New Roman"/>
          <w:b/>
          <w:smallCaps/>
          <w:sz w:val="22"/>
          <w:szCs w:val="22"/>
        </w:rPr>
        <w:t>Boletín N°12513-24</w:t>
      </w:r>
    </w:p>
    <w:p w:rsidR="00521BC3" w:rsidRPr="00521BC3" w:rsidRDefault="00521BC3">
      <w:pPr>
        <w:spacing w:line="360" w:lineRule="auto"/>
        <w:jc w:val="center"/>
        <w:rPr>
          <w:rFonts w:ascii="Palatino Linotype" w:eastAsia="Times New Roman" w:hAnsi="Palatino Linotype" w:cs="Times New Roman"/>
          <w:b/>
          <w:smallCaps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 xml:space="preserve">      El 16 de noviembre de 1995 los Estados Miembros de la Organización de las Naciones Unidas para la Educación, la Ciencia y la Cultura, acordaron la “</w:t>
      </w:r>
      <w:r>
        <w:rPr>
          <w:rFonts w:ascii="Palatino Linotype" w:eastAsia="Times New Roman" w:hAnsi="Palatino Linotype" w:cs="Times New Roman"/>
          <w:b/>
          <w:i/>
          <w:sz w:val="22"/>
          <w:szCs w:val="22"/>
        </w:rPr>
        <w:t xml:space="preserve">Declaración de Principios </w:t>
      </w:r>
      <w:r>
        <w:rPr>
          <w:rFonts w:ascii="Palatino Linotype" w:eastAsia="Times New Roman" w:hAnsi="Palatino Linotype" w:cs="Times New Roman"/>
          <w:b/>
          <w:i/>
          <w:sz w:val="22"/>
          <w:szCs w:val="22"/>
        </w:rPr>
        <w:t>sobre la Tolerancia</w:t>
      </w:r>
      <w:r>
        <w:rPr>
          <w:rFonts w:ascii="Palatino Linotype" w:eastAsia="Times New Roman" w:hAnsi="Palatino Linotype" w:cs="Times New Roman"/>
          <w:sz w:val="22"/>
          <w:szCs w:val="22"/>
        </w:rPr>
        <w:t>”</w:t>
      </w:r>
      <w:r>
        <w:rPr>
          <w:rStyle w:val="Ancladenotaalpie"/>
          <w:rFonts w:ascii="Palatino Linotype" w:eastAsia="Times New Roman" w:hAnsi="Palatino Linotype" w:cs="Times New Roman"/>
          <w:sz w:val="22"/>
          <w:szCs w:val="22"/>
        </w:rPr>
        <w:footnoteReference w:id="1"/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  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 xml:space="preserve">       El artículo primero, numeral primero de dicha Declaración señala: “</w:t>
      </w:r>
      <w:r>
        <w:rPr>
          <w:rFonts w:ascii="Palatino Linotype" w:eastAsia="Times New Roman" w:hAnsi="Palatino Linotype" w:cs="Times New Roman"/>
          <w:i/>
          <w:sz w:val="22"/>
          <w:szCs w:val="22"/>
        </w:rPr>
        <w:t>La tolerancia consiste en el respeto, la aceptación y el aprecio de la rica diversidad de las culturas de nuestro mundo, de nuestras formas de expresión y me</w:t>
      </w:r>
      <w:r>
        <w:rPr>
          <w:rFonts w:ascii="Palatino Linotype" w:eastAsia="Times New Roman" w:hAnsi="Palatino Linotype" w:cs="Times New Roman"/>
          <w:i/>
          <w:sz w:val="22"/>
          <w:szCs w:val="22"/>
        </w:rPr>
        <w:t>dios de ser humanos. La fomentan el conocimiento, la actitud de apertura, la comunicación y la libertad de pensamiento, de conciencia y de religión. La tolerancia consiste en la armonía en la diferencia. No sólo es un deber moral, sino además una exigencia</w:t>
      </w:r>
      <w:r>
        <w:rPr>
          <w:rFonts w:ascii="Palatino Linotype" w:eastAsia="Times New Roman" w:hAnsi="Palatino Linotype" w:cs="Times New Roman"/>
          <w:i/>
          <w:sz w:val="22"/>
          <w:szCs w:val="22"/>
        </w:rPr>
        <w:t xml:space="preserve"> política y jurídica. La tolerancia, la virtud que hace posible la paz, contribuye a sustituir la cultura de guerra por la cultura de paz.”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 Agregando en su numeral tercero que: “</w:t>
      </w:r>
      <w:r>
        <w:rPr>
          <w:rFonts w:ascii="Palatino Linotype" w:eastAsia="Times New Roman" w:hAnsi="Palatino Linotype" w:cs="Times New Roman"/>
          <w:i/>
          <w:sz w:val="22"/>
          <w:szCs w:val="22"/>
        </w:rPr>
        <w:t>La tolerancia es la responsabilidad que sustenta los derechos humanos, el plur</w:t>
      </w:r>
      <w:r>
        <w:rPr>
          <w:rFonts w:ascii="Palatino Linotype" w:eastAsia="Times New Roman" w:hAnsi="Palatino Linotype" w:cs="Times New Roman"/>
          <w:i/>
          <w:sz w:val="22"/>
          <w:szCs w:val="22"/>
        </w:rPr>
        <w:t>alismo (comprendido el pluralismo cultural), la democracia y el Estado de derecho. Supone el rechazo del dogmatismo y del absolutismo y afirma las normas establecidas por los instrumentos internacionales relativos a los derechos humanos.”</w:t>
      </w:r>
      <w:r>
        <w:rPr>
          <w:rStyle w:val="Ancladenotaalpie"/>
          <w:rFonts w:ascii="Palatino Linotype" w:eastAsia="Times New Roman" w:hAnsi="Palatino Linotype" w:cs="Times New Roman"/>
          <w:i/>
          <w:sz w:val="22"/>
          <w:szCs w:val="22"/>
        </w:rPr>
        <w:footnoteReference w:id="2"/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 xml:space="preserve">      En ese se</w:t>
      </w:r>
      <w:r>
        <w:rPr>
          <w:rFonts w:ascii="Palatino Linotype" w:eastAsia="Times New Roman" w:hAnsi="Palatino Linotype" w:cs="Times New Roman"/>
          <w:sz w:val="22"/>
          <w:szCs w:val="22"/>
        </w:rPr>
        <w:t>ntido, nuestro país ha expresado este respeto por los derechos humanos, el pluralismo, la democracia y el Estado de Derecho, ratificando diversas convenciones y tratados internacionales que los resguardan. Entre los más relevantes, por mencionar sólo algun</w:t>
      </w:r>
      <w:r>
        <w:rPr>
          <w:rFonts w:ascii="Palatino Linotype" w:eastAsia="Times New Roman" w:hAnsi="Palatino Linotype" w:cs="Times New Roman"/>
          <w:sz w:val="22"/>
          <w:szCs w:val="22"/>
        </w:rPr>
        <w:t>os, el Pacto Internacional de Derechos Civiles y Políticos (29 abril de 1989), el Pacto Internacional de Derechos Económicos, Sociales y Culturales (27 de mayo de 1989), la Convención Americana sobre Derechos Humanos (5 de enero de 1991), la Convención Int</w:t>
      </w:r>
      <w:r>
        <w:rPr>
          <w:rFonts w:ascii="Palatino Linotype" w:eastAsia="Times New Roman" w:hAnsi="Palatino Linotype" w:cs="Times New Roman"/>
          <w:sz w:val="22"/>
          <w:szCs w:val="22"/>
        </w:rPr>
        <w:t>ernacional sobre la Eliminación de todas las Formas de Discriminación Racial (9 de diciembre de 1989), la Convención para la Prevención y la Sanción del Delito de Genocidio (3 de junio de 1953), la Convención sobre la Eliminación de Todas las Formas de Dis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criminación Contra la Mujer (17 de octubre de 1989), entre otras convenciones y declaraciones relevantes que resguardan la tolerancia para la sociedad en su conjunto. 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ab/>
        <w:t xml:space="preserve">Es en virtud de los derechos humanos que sostenemos el reconocimiento de la persona y </w:t>
      </w:r>
      <w:r>
        <w:rPr>
          <w:rFonts w:ascii="Palatino Linotype" w:eastAsia="Times New Roman" w:hAnsi="Palatino Linotype" w:cs="Times New Roman"/>
          <w:sz w:val="22"/>
          <w:szCs w:val="22"/>
        </w:rPr>
        <w:t>su especial dignidad, propendiendo a identificar al otro como legítimo otro. Así, la tolerancia tiene que ver con vencer el miedo hacia el otro y lo diferente, encontrando sus bases filosóficas y jurídicas en los valores de libertad, igualdad, no discrimin</w:t>
      </w:r>
      <w:r>
        <w:rPr>
          <w:rFonts w:ascii="Palatino Linotype" w:eastAsia="Times New Roman" w:hAnsi="Palatino Linotype" w:cs="Times New Roman"/>
          <w:sz w:val="22"/>
          <w:szCs w:val="22"/>
        </w:rPr>
        <w:t>ación arbitraria; no violencia, solidaridad.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ab/>
        <w:t>La tolerancia dice relación con respetar y no interferir en la esfera del otro, lo que conlleva a que las sociedades deban trabajar para que sus habitantes entiendan el valor, impulsen y promuevan la diversid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ad, la diferencia y la inclusión. La tolerancia no se trata de ser timorato en los puntos de vista y convicciones propios, sino que se trata de que con convicción se permita que otras personas o grupos desplieguen sus propias perspectivas y formas de vida 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con todas las garantías para ello, siempre velando porque la libertad de unos no agreda la libertad de otros. 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ind w:firstLine="720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>Desde el otro escenario, una sociedad que no le resguarda, promueve, ni está consciente de ella, cae en la intolerancia, generando violencia, au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sencia de paz, y falta de desarrollo como nación, reflejados a través de guerras, genocidios, exclusiones, terrorismo,  persecuciones religiosas, persecuciones por orientación sexual, persecuciones políticas, totalitarismos, esclavitud, supresión de ideas 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nuevas, racismo, limpiezas étnicas, clasismos crónicos, discriminación estructural hacia la mujer,  hacia minorías étnicas; supresión de la libertad de expresión y de pensamiento; censuras de distinto tipo, injusticia social y ambiental.   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eastAsia="Times New Roman" w:hAnsi="Palatino Linotype" w:cs="Times New Roman"/>
          <w:i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 xml:space="preserve">    De acuerd</w:t>
      </w:r>
      <w:r>
        <w:rPr>
          <w:rFonts w:ascii="Palatino Linotype" w:eastAsia="Times New Roman" w:hAnsi="Palatino Linotype" w:cs="Times New Roman"/>
          <w:sz w:val="22"/>
          <w:szCs w:val="22"/>
        </w:rPr>
        <w:t xml:space="preserve">o a la Organización de las Naciones Unidas (ONU), el objeto de declarar “Días Internacionales” es </w:t>
      </w:r>
      <w:r>
        <w:rPr>
          <w:rFonts w:ascii="Palatino Linotype" w:eastAsia="Times New Roman" w:hAnsi="Palatino Linotype" w:cs="Times New Roman"/>
          <w:i/>
          <w:sz w:val="22"/>
          <w:szCs w:val="22"/>
        </w:rPr>
        <w:t>“Sensibilizar, concienciar, llamar la atención, señalar que existe un problema sin resolver, un asunto importante y pendiente en las sociedades para que, a tr</w:t>
      </w:r>
      <w:r>
        <w:rPr>
          <w:rFonts w:ascii="Palatino Linotype" w:eastAsia="Times New Roman" w:hAnsi="Palatino Linotype" w:cs="Times New Roman"/>
          <w:i/>
          <w:sz w:val="22"/>
          <w:szCs w:val="22"/>
        </w:rPr>
        <w:t>avés de esa sensibilización, los gobiernos y los estados actúen y tomen medidas o para que los ciudadanos así lo exijan a sus representantes.”</w:t>
      </w:r>
      <w:r>
        <w:rPr>
          <w:rStyle w:val="Ancladenotaalpie"/>
          <w:rFonts w:ascii="Palatino Linotype" w:eastAsia="Times New Roman" w:hAnsi="Palatino Linotype" w:cs="Times New Roman"/>
          <w:i/>
          <w:sz w:val="22"/>
          <w:szCs w:val="22"/>
        </w:rPr>
        <w:footnoteReference w:id="3"/>
      </w:r>
      <w:r>
        <w:rPr>
          <w:rFonts w:ascii="Palatino Linotype" w:eastAsia="Times New Roman" w:hAnsi="Palatino Linotype" w:cs="Times New Roman"/>
          <w:i/>
          <w:sz w:val="22"/>
          <w:szCs w:val="22"/>
        </w:rPr>
        <w:t xml:space="preserve"> 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i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 xml:space="preserve">    Por las razones argumentadas y desde el espacio que nos otorgó la ciudadanía en esta Honorable Cámara, es </w:t>
      </w:r>
      <w:r>
        <w:rPr>
          <w:rFonts w:ascii="Palatino Linotype" w:eastAsia="Times New Roman" w:hAnsi="Palatino Linotype" w:cs="Times New Roman"/>
          <w:sz w:val="22"/>
          <w:szCs w:val="22"/>
        </w:rPr>
        <w:t>propicio impulsar la declaración del Día Nacional de la Tolerancia, persiguiendo precisamente aquellos fines como el de concienciar y sensibilizar, poniendo en evidencia los riesgos de la intolerancia y educar en pro del fomento de la misma, permitiendo ha</w:t>
      </w:r>
      <w:r>
        <w:rPr>
          <w:rFonts w:ascii="Palatino Linotype" w:eastAsia="Times New Roman" w:hAnsi="Palatino Linotype" w:cs="Times New Roman"/>
          <w:sz w:val="22"/>
          <w:szCs w:val="22"/>
        </w:rPr>
        <w:t>cer de esta sociedad una sociedad cada vez más tolerante y respetuosa, promoviendo el desarrollo y bienestar común.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  <w:r>
        <w:rPr>
          <w:rFonts w:ascii="Palatino Linotype" w:eastAsia="Times New Roman" w:hAnsi="Palatino Linotype" w:cs="Times New Roman"/>
          <w:sz w:val="22"/>
          <w:szCs w:val="22"/>
        </w:rPr>
        <w:t xml:space="preserve">    Finalmente, se ha elegido el día 16 de noviembre de cada año, mismo día que fue proclamado como Día Internacional para la Tolerancia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b/>
          <w:sz w:val="22"/>
          <w:szCs w:val="22"/>
        </w:rPr>
      </w:pPr>
    </w:p>
    <w:p w:rsidR="00C92A99" w:rsidRDefault="00C92A99">
      <w:pPr>
        <w:widowControl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rPr>
          <w:rFonts w:ascii="Palatino Linotype" w:eastAsia="Times New Roman" w:hAnsi="Palatino Linotype" w:cs="Times New Roman"/>
          <w:b/>
          <w:color w:val="000000"/>
          <w:sz w:val="22"/>
          <w:szCs w:val="22"/>
        </w:rPr>
      </w:pPr>
      <w:r>
        <w:rPr>
          <w:rFonts w:ascii="Palatino Linotype" w:eastAsia="Times New Roman" w:hAnsi="Palatino Linotype" w:cs="Times New Roman"/>
          <w:b/>
          <w:color w:val="000000"/>
          <w:sz w:val="22"/>
          <w:szCs w:val="22"/>
        </w:rPr>
        <w:lastRenderedPageBreak/>
        <w:t xml:space="preserve">Idea Matriz </w:t>
      </w:r>
    </w:p>
    <w:p w:rsidR="00C92A99" w:rsidRDefault="00C92A99">
      <w:pPr>
        <w:spacing w:line="360" w:lineRule="auto"/>
        <w:rPr>
          <w:rFonts w:ascii="Palatino Linotype" w:eastAsia="Times New Roman" w:hAnsi="Palatino Linotype" w:cs="Times New Roman"/>
          <w:b/>
          <w:color w:val="000000"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  <w:r>
        <w:rPr>
          <w:rFonts w:ascii="Palatino Linotype" w:eastAsia="Times New Roman" w:hAnsi="Palatino Linotype" w:cs="Times New Roman"/>
          <w:color w:val="000000"/>
          <w:sz w:val="22"/>
          <w:szCs w:val="22"/>
        </w:rPr>
        <w:t>Declarar el día 16 de noviembre de cada año como el Día Nacional de la Tolerancia, fomentando, promoviéndose y coordinando las acciones que contribuyan a nuestra sociedad a garantizarle y promoverle.</w:t>
      </w:r>
    </w:p>
    <w:p w:rsidR="00C92A99" w:rsidRDefault="00C92A99">
      <w:pPr>
        <w:spacing w:line="360" w:lineRule="auto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:rsidR="00C92A99" w:rsidRDefault="00B5368C">
      <w:pPr>
        <w:spacing w:line="360" w:lineRule="auto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  <w:r>
        <w:rPr>
          <w:rFonts w:ascii="Palatino Linotype" w:eastAsia="Times New Roman" w:hAnsi="Palatino Linotype" w:cs="Times New Roman"/>
          <w:color w:val="000000"/>
          <w:sz w:val="22"/>
          <w:szCs w:val="22"/>
        </w:rPr>
        <w:t>Por lo anterior, vengo en proponer el sig</w:t>
      </w:r>
      <w:r>
        <w:rPr>
          <w:rFonts w:ascii="Palatino Linotype" w:eastAsia="Times New Roman" w:hAnsi="Palatino Linotype" w:cs="Times New Roman"/>
          <w:color w:val="000000"/>
          <w:sz w:val="22"/>
          <w:szCs w:val="22"/>
        </w:rPr>
        <w:t xml:space="preserve">uiente: </w:t>
      </w:r>
    </w:p>
    <w:p w:rsidR="00C92A99" w:rsidRDefault="00C92A99">
      <w:pPr>
        <w:spacing w:line="360" w:lineRule="auto"/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C92A99">
      <w:pPr>
        <w:spacing w:line="360" w:lineRule="auto"/>
        <w:jc w:val="center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jc w:val="center"/>
        <w:rPr>
          <w:rFonts w:ascii="Palatino Linotype" w:eastAsia="Times New Roman" w:hAnsi="Palatino Linotype" w:cs="Times New Roman"/>
          <w:b/>
          <w:smallCaps/>
          <w:sz w:val="22"/>
          <w:szCs w:val="22"/>
          <w:u w:val="single"/>
        </w:rPr>
      </w:pPr>
      <w:r>
        <w:rPr>
          <w:rFonts w:ascii="Palatino Linotype" w:eastAsia="Times New Roman" w:hAnsi="Palatino Linotype" w:cs="Times New Roman"/>
          <w:b/>
          <w:smallCaps/>
          <w:sz w:val="22"/>
          <w:szCs w:val="22"/>
          <w:u w:val="single"/>
        </w:rPr>
        <w:t>Proyecto de Ley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Palatino Linotype" w:hAnsi="Palatino Linotype" w:cs="Courier New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 w:cs="Courier New"/>
          <w:sz w:val="22"/>
          <w:szCs w:val="22"/>
        </w:rPr>
        <w:t>“A</w:t>
      </w:r>
      <w:r>
        <w:rPr>
          <w:rFonts w:ascii="Palatino Linotype" w:hAnsi="Palatino Linotype" w:cs="Courier New"/>
          <w:b/>
          <w:sz w:val="22"/>
          <w:szCs w:val="22"/>
        </w:rPr>
        <w:t xml:space="preserve">rtículo único.- </w:t>
      </w:r>
      <w:r>
        <w:rPr>
          <w:rFonts w:ascii="Palatino Linotype" w:hAnsi="Palatino Linotype" w:cs="Courier New"/>
          <w:sz w:val="22"/>
          <w:szCs w:val="22"/>
          <w:lang w:val="es-MX"/>
        </w:rPr>
        <w:t>Declárase el 16 de noviembre de cada año como el Día Nacional de la Tolerancia</w:t>
      </w:r>
      <w:r>
        <w:rPr>
          <w:rFonts w:ascii="Palatino Linotype" w:hAnsi="Palatino Linotype" w:cs="Courier New"/>
          <w:sz w:val="22"/>
          <w:szCs w:val="22"/>
        </w:rPr>
        <w:t>.</w:t>
      </w:r>
    </w:p>
    <w:p w:rsidR="00C92A99" w:rsidRDefault="00B5368C">
      <w:pPr>
        <w:spacing w:line="360" w:lineRule="auto"/>
        <w:jc w:val="both"/>
        <w:rPr>
          <w:rFonts w:ascii="Palatino Linotype" w:hAnsi="Palatino Linotype" w:cs="Courier New"/>
          <w:bCs/>
          <w:iCs/>
          <w:sz w:val="22"/>
          <w:szCs w:val="22"/>
          <w:lang w:val="es-ES"/>
        </w:rPr>
      </w:pPr>
      <w:r>
        <w:rPr>
          <w:rFonts w:ascii="Palatino Linotype" w:hAnsi="Palatino Linotype" w:cs="Courier New"/>
          <w:sz w:val="22"/>
          <w:szCs w:val="22"/>
        </w:rPr>
        <w:t xml:space="preserve">Foméntese, promuévase y coordínese, durante ese día, toda clase de acciones educativas, de difusión comunicacional, cultural, </w:t>
      </w:r>
      <w:r>
        <w:rPr>
          <w:rFonts w:ascii="Palatino Linotype" w:hAnsi="Palatino Linotype" w:cs="Courier New"/>
          <w:sz w:val="22"/>
          <w:szCs w:val="22"/>
        </w:rPr>
        <w:t>artística y científica en pos de la Tolerancia, en todo el territorio nacional</w:t>
      </w:r>
      <w:r>
        <w:rPr>
          <w:rFonts w:ascii="Palatino Linotype" w:hAnsi="Palatino Linotype" w:cs="Courier New"/>
          <w:bCs/>
          <w:iCs/>
          <w:sz w:val="22"/>
          <w:szCs w:val="22"/>
          <w:lang w:val="es-ES"/>
        </w:rPr>
        <w:t>”.</w:t>
      </w:r>
    </w:p>
    <w:p w:rsidR="00C92A99" w:rsidRDefault="00C92A99">
      <w:pPr>
        <w:spacing w:line="360" w:lineRule="auto"/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val="es-ES"/>
        </w:rPr>
      </w:pPr>
    </w:p>
    <w:p w:rsidR="00C92A99" w:rsidRDefault="00C92A99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92A99" w:rsidRDefault="00C92A9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92A99" w:rsidRDefault="00C92A99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:rsidR="00C92A99" w:rsidRDefault="00B5368C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VÍCTOR TORRES JELDES </w:t>
      </w: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ab/>
        <w:t>JOSÉ PÉREZ ARRIAGADA</w:t>
      </w: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B5368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MAYA FERNÁNDEZ ALLENDE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RAÚL SALDÍVAR AUGER</w:t>
      </w: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B5368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MARIO DESBORDES JIMÉNEZ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VLADO MIROSIVIC</w:t>
      </w: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B5368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NINO BALTOLU RASERA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FERNANDO MEZA MONDACA</w:t>
      </w: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C92A99">
      <w:pPr>
        <w:spacing w:line="360" w:lineRule="auto"/>
        <w:jc w:val="both"/>
        <w:rPr>
          <w:rFonts w:eastAsia="Times New Roman" w:cs="Times New Roman"/>
        </w:rPr>
      </w:pPr>
    </w:p>
    <w:p w:rsidR="00C92A99" w:rsidRDefault="00B5368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GABRIEL SILBER ROMO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ANDRÉS LONGTON HERRERA</w:t>
      </w:r>
    </w:p>
    <w:p w:rsidR="00C92A99" w:rsidRDefault="00C92A99">
      <w:pPr>
        <w:spacing w:line="360" w:lineRule="auto"/>
        <w:jc w:val="center"/>
        <w:rPr>
          <w:rFonts w:eastAsia="Times New Roman" w:cs="Times New Roman"/>
        </w:rPr>
      </w:pPr>
    </w:p>
    <w:p w:rsidR="00C92A99" w:rsidRDefault="00B5368C">
      <w:pPr>
        <w:spacing w:line="36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>DIPUTADOS DE LA REPÚBLICA</w:t>
      </w:r>
    </w:p>
    <w:sectPr w:rsidR="00C92A99">
      <w:footerReference w:type="default" r:id="rId7"/>
      <w:pgSz w:w="12240" w:h="20160"/>
      <w:pgMar w:top="1440" w:right="1800" w:bottom="1440" w:left="1800" w:header="0" w:footer="708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8C" w:rsidRDefault="00B5368C">
      <w:r>
        <w:separator/>
      </w:r>
    </w:p>
  </w:endnote>
  <w:endnote w:type="continuationSeparator" w:id="0">
    <w:p w:rsidR="00B5368C" w:rsidRDefault="00B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A99" w:rsidRDefault="00B5368C">
    <w:pPr>
      <w:tabs>
        <w:tab w:val="center" w:pos="4419"/>
        <w:tab w:val="right" w:pos="8838"/>
      </w:tabs>
      <w:jc w:val="center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521BC3">
      <w:rPr>
        <w:noProof/>
      </w:rPr>
      <w:t>2</w:t>
    </w:r>
    <w:r>
      <w:fldChar w:fldCharType="end"/>
    </w:r>
  </w:p>
  <w:p w:rsidR="00C92A99" w:rsidRDefault="00C92A99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8C" w:rsidRDefault="00B5368C">
      <w:r>
        <w:separator/>
      </w:r>
    </w:p>
  </w:footnote>
  <w:footnote w:type="continuationSeparator" w:id="0">
    <w:p w:rsidR="00B5368C" w:rsidRDefault="00B5368C">
      <w:r>
        <w:continuationSeparator/>
      </w:r>
    </w:p>
  </w:footnote>
  <w:footnote w:id="1">
    <w:p w:rsidR="00C92A99" w:rsidRDefault="00B5368C">
      <w:pPr>
        <w:pStyle w:val="Textonotapie"/>
      </w:pPr>
      <w:r>
        <w:rPr>
          <w:rStyle w:val="Caracteresdenotaalpie"/>
        </w:rPr>
        <w:footnoteRef/>
      </w:r>
      <w:r>
        <w:t xml:space="preserve"> </w:t>
      </w:r>
      <w:hyperlink r:id="rId1">
        <w:r>
          <w:rPr>
            <w:rStyle w:val="EnlacedeInternet"/>
          </w:rPr>
          <w:t>http://portal.unesco.org/es/ev.php-URL_ID=13175&amp;URL_DO=DO_TOPIC&amp;URL_SECTION=201.html</w:t>
        </w:r>
      </w:hyperlink>
      <w:r>
        <w:t xml:space="preserve"> </w:t>
      </w:r>
    </w:p>
  </w:footnote>
  <w:footnote w:id="2">
    <w:p w:rsidR="00C92A99" w:rsidRDefault="00B5368C">
      <w:pPr>
        <w:pStyle w:val="Textonotapie"/>
      </w:pPr>
      <w:r>
        <w:rPr>
          <w:rStyle w:val="Caracteresdenotaalpie"/>
        </w:rPr>
        <w:footnoteRef/>
      </w:r>
      <w:r>
        <w:t xml:space="preserve"> Ibidem </w:t>
      </w:r>
    </w:p>
  </w:footnote>
  <w:footnote w:id="3">
    <w:p w:rsidR="00C92A99" w:rsidRDefault="00B5368C">
      <w:pPr>
        <w:pStyle w:val="Textonotapie"/>
      </w:pPr>
      <w:r>
        <w:rPr>
          <w:rStyle w:val="Caracteresdenotaalpie"/>
        </w:rPr>
        <w:footnoteRef/>
      </w:r>
      <w:r>
        <w:t xml:space="preserve"> </w:t>
      </w:r>
      <w:hyperlink r:id="rId2">
        <w:r>
          <w:rPr>
            <w:rStyle w:val="EnlacedeInternet"/>
          </w:rPr>
          <w:t>https://blogs.un.org/es/2016/11/23/para-que-sirven-los-dias-internacionales/</w:t>
        </w:r>
      </w:hyperlink>
      <w:r>
        <w:t xml:space="preserve"> fecha última consulta 20 marzo de 2019.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99"/>
    <w:rsid w:val="00521BC3"/>
    <w:rsid w:val="00B5368C"/>
    <w:rsid w:val="00C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BAB73A-DFB0-43BC-A6F4-87D64332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20B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620B4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655F7A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655F7A"/>
    <w:rPr>
      <w:vertAlign w:val="superscript"/>
    </w:rPr>
  </w:style>
  <w:style w:type="character" w:customStyle="1" w:styleId="EnlacedeInternet">
    <w:name w:val="Enlace de Internet"/>
    <w:basedOn w:val="Fuentedeprrafopredeter"/>
    <w:uiPriority w:val="99"/>
    <w:unhideWhenUsed/>
    <w:rsid w:val="00655F7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655F7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8746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A41B90"/>
    <w:rPr>
      <w:color w:val="800080" w:themeColor="followed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67DDB"/>
    <w:rPr>
      <w:rFonts w:ascii="Segoe UI" w:hAnsi="Segoe UI" w:cs="Segoe UI"/>
      <w:sz w:val="18"/>
      <w:szCs w:val="18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8D7DC0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A904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20B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7620B4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5F7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67DDB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logs.un.org/es/2016/11/23/para-que-sirven-los-dias-internacionales/" TargetMode="External"/><Relationship Id="rId1" Type="http://schemas.openxmlformats.org/officeDocument/2006/relationships/hyperlink" Target="http://portal.unesco.org/es/ev.php-URL_ID=13175&amp;URL_DO=DO_TOPIC&amp;URL_SECTION=2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BDC9-F40F-430C-B05D-119121AD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Fernandez Urcelay</dc:creator>
  <dc:description/>
  <cp:lastModifiedBy>Leonardo Lueiza Ureta</cp:lastModifiedBy>
  <cp:revision>6</cp:revision>
  <dcterms:created xsi:type="dcterms:W3CDTF">2019-03-20T21:00:00Z</dcterms:created>
  <dcterms:modified xsi:type="dcterms:W3CDTF">2019-04-04T14:48:00Z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