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CA8B2" w14:textId="0F5056A1" w:rsidR="00D81472" w:rsidRPr="00E464C5" w:rsidRDefault="00DE0559" w:rsidP="00DE0559">
      <w:pPr>
        <w:spacing w:line="276" w:lineRule="auto"/>
        <w:jc w:val="center"/>
        <w:rPr>
          <w:rFonts w:ascii="Baskerville" w:hAnsi="Baskerville" w:cs="Times New Roman"/>
          <w:b/>
          <w:u w:val="single"/>
        </w:rPr>
      </w:pPr>
      <w:r w:rsidRPr="00DE0559">
        <w:rPr>
          <w:rFonts w:ascii="Baskerville" w:hAnsi="Baskerville" w:cs="Times New Roman"/>
          <w:b/>
        </w:rPr>
        <w:t>Modifica el decreto ley N° 211, de 1973, que Fija Normas para la Defensa de la Libre Competencia, en lo que respecta al alcance del recurso establecido en contra de las sentencias definitivas dictadas por el Tribunal de Defensa de la Libre Competencia</w:t>
      </w:r>
    </w:p>
    <w:p w14:paraId="0FB08B5C" w14:textId="77777777" w:rsidR="00D81472" w:rsidRDefault="00D81472" w:rsidP="00DE0559">
      <w:pPr>
        <w:spacing w:line="276" w:lineRule="auto"/>
        <w:jc w:val="center"/>
        <w:rPr>
          <w:rFonts w:ascii="Baskerville" w:hAnsi="Baskerville" w:cs="Times New Roman"/>
          <w:b/>
        </w:rPr>
      </w:pPr>
    </w:p>
    <w:p w14:paraId="18181F74" w14:textId="199B4D33" w:rsidR="00DE0559" w:rsidRPr="00D81472" w:rsidRDefault="00DE0559" w:rsidP="00DE0559">
      <w:pPr>
        <w:spacing w:line="276" w:lineRule="auto"/>
        <w:jc w:val="center"/>
        <w:rPr>
          <w:rFonts w:ascii="Baskerville" w:hAnsi="Baskerville" w:cs="Times New Roman"/>
          <w:b/>
        </w:rPr>
      </w:pPr>
      <w:r>
        <w:rPr>
          <w:rFonts w:ascii="Baskerville" w:hAnsi="Baskerville" w:cs="Times New Roman"/>
          <w:b/>
        </w:rPr>
        <w:t>Boletín N°12286-03</w:t>
      </w:r>
    </w:p>
    <w:p w14:paraId="5939C012" w14:textId="451882A0" w:rsidR="0061376F" w:rsidRPr="00D81472" w:rsidRDefault="00D81472" w:rsidP="00D81472">
      <w:pPr>
        <w:spacing w:line="276" w:lineRule="auto"/>
        <w:jc w:val="both"/>
        <w:rPr>
          <w:rFonts w:ascii="Baskerville" w:hAnsi="Baskerville" w:cs="Times New Roman"/>
          <w:b/>
        </w:rPr>
      </w:pPr>
      <w:r w:rsidRPr="00D81472">
        <w:rPr>
          <w:rFonts w:ascii="Baskerville" w:hAnsi="Baskerville" w:cs="Times New Roman"/>
          <w:b/>
        </w:rPr>
        <w:t>A.</w:t>
      </w:r>
      <w:r w:rsidRPr="00D81472">
        <w:rPr>
          <w:rFonts w:ascii="Baskerville" w:hAnsi="Baskerville" w:cs="Times New Roman"/>
          <w:b/>
        </w:rPr>
        <w:tab/>
      </w:r>
      <w:r w:rsidR="00E464C5" w:rsidRPr="00D81472">
        <w:rPr>
          <w:rFonts w:ascii="Baskerville" w:hAnsi="Baskerville" w:cs="Times New Roman"/>
          <w:b/>
        </w:rPr>
        <w:t>Idea matriz.</w:t>
      </w:r>
    </w:p>
    <w:p w14:paraId="2224C886" w14:textId="77777777" w:rsidR="00D81472" w:rsidRPr="00D81472" w:rsidRDefault="00D81472" w:rsidP="00D81472">
      <w:pPr>
        <w:spacing w:line="276" w:lineRule="auto"/>
        <w:jc w:val="both"/>
        <w:rPr>
          <w:rFonts w:ascii="Baskerville" w:hAnsi="Baskerville" w:cs="Times New Roman"/>
          <w:b/>
          <w:u w:val="single"/>
        </w:rPr>
      </w:pPr>
    </w:p>
    <w:p w14:paraId="2774CDA0" w14:textId="398711E5" w:rsidR="00662485" w:rsidRPr="00D81472" w:rsidRDefault="0061376F" w:rsidP="00D81472">
      <w:pPr>
        <w:spacing w:line="276" w:lineRule="auto"/>
        <w:jc w:val="both"/>
        <w:rPr>
          <w:rFonts w:ascii="Baskerville" w:hAnsi="Baskerville" w:cs="Times New Roman"/>
        </w:rPr>
      </w:pPr>
      <w:r w:rsidRPr="00D81472">
        <w:rPr>
          <w:rFonts w:ascii="Baskerville" w:hAnsi="Baskerville" w:cs="Times New Roman"/>
        </w:rPr>
        <w:t xml:space="preserve">El presente </w:t>
      </w:r>
      <w:r w:rsidR="00D81472" w:rsidRPr="00D81472">
        <w:rPr>
          <w:rFonts w:ascii="Baskerville" w:hAnsi="Baskerville" w:cs="Times New Roman"/>
        </w:rPr>
        <w:t>proyecto de ley</w:t>
      </w:r>
      <w:r w:rsidRPr="00D81472">
        <w:rPr>
          <w:rFonts w:ascii="Baskerville" w:hAnsi="Baskerville" w:cs="Times New Roman"/>
        </w:rPr>
        <w:t xml:space="preserve"> tiene como objetivo </w:t>
      </w:r>
      <w:r w:rsidR="00D81472" w:rsidRPr="00D81472">
        <w:rPr>
          <w:rFonts w:ascii="Baskerville" w:hAnsi="Baskerville" w:cs="Times New Roman"/>
        </w:rPr>
        <w:t>modificar el régimen</w:t>
      </w:r>
      <w:r w:rsidRPr="00D81472">
        <w:rPr>
          <w:rFonts w:ascii="Baskerville" w:hAnsi="Baskerville" w:cs="Times New Roman"/>
        </w:rPr>
        <w:t xml:space="preserve"> actual del sistema recursivo en sede de Libre Competencia en </w:t>
      </w:r>
      <w:r w:rsidR="00A176AD" w:rsidRPr="00D81472">
        <w:rPr>
          <w:rFonts w:ascii="Baskerville" w:hAnsi="Baskerville" w:cs="Times New Roman"/>
        </w:rPr>
        <w:t>Chile</w:t>
      </w:r>
      <w:r w:rsidR="002C577E" w:rsidRPr="00D81472">
        <w:rPr>
          <w:rFonts w:ascii="Baskerville" w:hAnsi="Baskerville" w:cs="Times New Roman"/>
        </w:rPr>
        <w:t>. En tal sentido</w:t>
      </w:r>
      <w:r w:rsidR="00E25A32" w:rsidRPr="00D81472">
        <w:rPr>
          <w:rFonts w:ascii="Baskerville" w:hAnsi="Baskerville" w:cs="Times New Roman"/>
        </w:rPr>
        <w:t>,</w:t>
      </w:r>
      <w:r w:rsidR="002C577E" w:rsidRPr="00D81472">
        <w:rPr>
          <w:rFonts w:ascii="Baskerville" w:hAnsi="Baskerville" w:cs="Times New Roman"/>
        </w:rPr>
        <w:t xml:space="preserve"> se propone reevaluar el actual modo de impugnación de las sentencias definitivas</w:t>
      </w:r>
      <w:r w:rsidR="00E25A32" w:rsidRPr="00D81472">
        <w:rPr>
          <w:rFonts w:ascii="Baskerville" w:hAnsi="Baskerville" w:cs="Times New Roman"/>
        </w:rPr>
        <w:t>, consistente</w:t>
      </w:r>
      <w:r w:rsidR="00662485" w:rsidRPr="00D81472">
        <w:rPr>
          <w:rFonts w:ascii="Baskerville" w:hAnsi="Baskerville" w:cs="Times New Roman"/>
        </w:rPr>
        <w:t xml:space="preserve"> en un recurso de reclamación, </w:t>
      </w:r>
      <w:r w:rsidR="00A176AD" w:rsidRPr="00D81472">
        <w:rPr>
          <w:rFonts w:ascii="Baskerville" w:hAnsi="Baskerville" w:cs="Times New Roman"/>
        </w:rPr>
        <w:t>cuyo</w:t>
      </w:r>
      <w:r w:rsidR="00662485" w:rsidRPr="00D81472">
        <w:rPr>
          <w:rFonts w:ascii="Baskerville" w:hAnsi="Baskerville" w:cs="Times New Roman"/>
        </w:rPr>
        <w:t xml:space="preserve"> alcance es determinado por e</w:t>
      </w:r>
      <w:bookmarkStart w:id="0" w:name="_GoBack"/>
      <w:bookmarkEnd w:id="0"/>
      <w:r w:rsidR="00662485" w:rsidRPr="00D81472">
        <w:rPr>
          <w:rFonts w:ascii="Baskerville" w:hAnsi="Baskerville" w:cs="Times New Roman"/>
        </w:rPr>
        <w:t xml:space="preserve">l mismo tribunal de alzada que lo </w:t>
      </w:r>
      <w:r w:rsidR="00A176AD" w:rsidRPr="00D81472">
        <w:rPr>
          <w:rFonts w:ascii="Baskerville" w:hAnsi="Baskerville" w:cs="Times New Roman"/>
        </w:rPr>
        <w:t>conoce</w:t>
      </w:r>
      <w:r w:rsidR="00662485" w:rsidRPr="00D81472">
        <w:rPr>
          <w:rFonts w:ascii="Baskerville" w:hAnsi="Baskerville" w:cs="Times New Roman"/>
        </w:rPr>
        <w:t>, hecho</w:t>
      </w:r>
      <w:r w:rsidR="00D81472" w:rsidRPr="00D81472">
        <w:rPr>
          <w:rFonts w:ascii="Baskerville" w:hAnsi="Baskerville" w:cs="Times New Roman"/>
        </w:rPr>
        <w:t xml:space="preserve"> que</w:t>
      </w:r>
      <w:r w:rsidR="00A176AD" w:rsidRPr="00D81472">
        <w:rPr>
          <w:rFonts w:ascii="Baskerville" w:hAnsi="Baskerville" w:cs="Times New Roman"/>
        </w:rPr>
        <w:t>, como veremos,</w:t>
      </w:r>
      <w:r w:rsidR="00662485" w:rsidRPr="00D81472">
        <w:rPr>
          <w:rFonts w:ascii="Baskerville" w:hAnsi="Baskerville" w:cs="Times New Roman"/>
        </w:rPr>
        <w:t xml:space="preserve"> desvirtúa el modelo. </w:t>
      </w:r>
    </w:p>
    <w:p w14:paraId="178AF610" w14:textId="77777777" w:rsidR="00662485" w:rsidRPr="00D81472" w:rsidRDefault="00662485" w:rsidP="00D81472">
      <w:pPr>
        <w:spacing w:line="276" w:lineRule="auto"/>
        <w:jc w:val="both"/>
        <w:rPr>
          <w:rFonts w:ascii="Baskerville" w:hAnsi="Baskerville" w:cs="Times New Roman"/>
        </w:rPr>
      </w:pPr>
    </w:p>
    <w:p w14:paraId="490E71BE" w14:textId="09DC02BC" w:rsidR="00662485" w:rsidRPr="00D81472" w:rsidRDefault="00662485" w:rsidP="00D81472">
      <w:pPr>
        <w:spacing w:line="276" w:lineRule="auto"/>
        <w:jc w:val="both"/>
        <w:rPr>
          <w:rFonts w:ascii="Baskerville" w:hAnsi="Baskerville"/>
        </w:rPr>
      </w:pPr>
      <w:r w:rsidRPr="00D81472">
        <w:rPr>
          <w:rFonts w:ascii="Baskerville" w:hAnsi="Baskerville"/>
        </w:rPr>
        <w:t xml:space="preserve">Así, este </w:t>
      </w:r>
      <w:r w:rsidR="00D81472" w:rsidRPr="00D81472">
        <w:rPr>
          <w:rFonts w:ascii="Baskerville" w:hAnsi="Baskerville"/>
        </w:rPr>
        <w:t>proyecto de ley</w:t>
      </w:r>
      <w:r w:rsidRPr="00D81472">
        <w:rPr>
          <w:rFonts w:ascii="Baskerville" w:hAnsi="Baskerville"/>
        </w:rPr>
        <w:t xml:space="preserve"> pretende demostrar que la impugnación de las sentencias</w:t>
      </w:r>
      <w:r w:rsidR="00A176AD" w:rsidRPr="00D81472">
        <w:rPr>
          <w:rFonts w:ascii="Baskerville" w:hAnsi="Baskerville"/>
        </w:rPr>
        <w:t xml:space="preserve"> definitivas</w:t>
      </w:r>
      <w:r w:rsidRPr="00D81472">
        <w:rPr>
          <w:rFonts w:ascii="Baskerville" w:hAnsi="Baskerville"/>
        </w:rPr>
        <w:t xml:space="preserve"> emanadas de la potestad jurisdiccional del Tribunal de Defensa de la Libre Competencia debe ser acotada, debiendo ser procedente sólo </w:t>
      </w:r>
      <w:r w:rsidR="00E25A32" w:rsidRPr="00D81472">
        <w:rPr>
          <w:rFonts w:ascii="Baskerville" w:hAnsi="Baskerville"/>
        </w:rPr>
        <w:t>cuando</w:t>
      </w:r>
      <w:r w:rsidRPr="00D81472">
        <w:rPr>
          <w:rFonts w:ascii="Baskerville" w:hAnsi="Baskerville"/>
        </w:rPr>
        <w:t xml:space="preserve"> se infrinjan derechos a las partes interesadas, so pena de arriesgar que las política</w:t>
      </w:r>
      <w:r w:rsidR="00A176AD" w:rsidRPr="00D81472">
        <w:rPr>
          <w:rFonts w:ascii="Baskerville" w:hAnsi="Baskerville"/>
        </w:rPr>
        <w:t>s públicas de defensa de Libre c</w:t>
      </w:r>
      <w:r w:rsidRPr="00D81472">
        <w:rPr>
          <w:rFonts w:ascii="Baskerville" w:hAnsi="Baskerville"/>
        </w:rPr>
        <w:t>ompetencia las termine decidiendo un tribunal en un sistema binario de solo ganadores y perdedores.</w:t>
      </w:r>
      <w:r w:rsidR="00E25A32" w:rsidRPr="00D81472">
        <w:rPr>
          <w:rFonts w:ascii="Baskerville" w:hAnsi="Baskerville"/>
        </w:rPr>
        <w:t xml:space="preserve"> </w:t>
      </w:r>
    </w:p>
    <w:p w14:paraId="098100AF" w14:textId="77777777" w:rsidR="00E25A32" w:rsidRPr="00D81472" w:rsidRDefault="00E25A32" w:rsidP="00D81472">
      <w:pPr>
        <w:spacing w:line="276" w:lineRule="auto"/>
        <w:jc w:val="both"/>
        <w:rPr>
          <w:rFonts w:ascii="Baskerville" w:hAnsi="Baskerville"/>
        </w:rPr>
      </w:pPr>
    </w:p>
    <w:p w14:paraId="07B943EA" w14:textId="503D1EBC" w:rsidR="004F518D" w:rsidRPr="00D81472" w:rsidRDefault="00D81472" w:rsidP="00D81472">
      <w:pPr>
        <w:spacing w:line="276" w:lineRule="auto"/>
        <w:jc w:val="both"/>
        <w:rPr>
          <w:rFonts w:ascii="Baskerville" w:hAnsi="Baskerville"/>
          <w:b/>
        </w:rPr>
      </w:pPr>
      <w:r w:rsidRPr="00D81472">
        <w:rPr>
          <w:rFonts w:ascii="Baskerville" w:hAnsi="Baskerville"/>
          <w:b/>
        </w:rPr>
        <w:t>B.</w:t>
      </w:r>
      <w:r w:rsidRPr="00D81472">
        <w:rPr>
          <w:rFonts w:ascii="Baskerville" w:hAnsi="Baskerville"/>
          <w:b/>
        </w:rPr>
        <w:tab/>
      </w:r>
      <w:r w:rsidR="00E464C5" w:rsidRPr="00D81472">
        <w:rPr>
          <w:rFonts w:ascii="Baskerville" w:hAnsi="Baskerville"/>
          <w:b/>
        </w:rPr>
        <w:t xml:space="preserve">Fundamentos </w:t>
      </w:r>
    </w:p>
    <w:p w14:paraId="0D7DB33E" w14:textId="67847CB1" w:rsidR="002608EE" w:rsidRPr="00D81472" w:rsidRDefault="002608EE" w:rsidP="00D81472">
      <w:pPr>
        <w:spacing w:line="276" w:lineRule="auto"/>
        <w:jc w:val="both"/>
        <w:rPr>
          <w:rFonts w:ascii="Baskerville" w:hAnsi="Baskerville" w:cs="Times New Roman"/>
        </w:rPr>
      </w:pPr>
    </w:p>
    <w:p w14:paraId="2A51FFE8" w14:textId="4E553760" w:rsidR="0021012D" w:rsidRPr="00D81472" w:rsidRDefault="0021012D" w:rsidP="00D81472">
      <w:pPr>
        <w:spacing w:line="276" w:lineRule="auto"/>
        <w:jc w:val="both"/>
        <w:rPr>
          <w:rFonts w:ascii="Baskerville" w:hAnsi="Baskerville" w:cs="Times New Roman"/>
        </w:rPr>
      </w:pPr>
      <w:r w:rsidRPr="00D81472">
        <w:rPr>
          <w:rFonts w:ascii="Baskerville" w:hAnsi="Baskerville" w:cs="Times New Roman"/>
          <w:b/>
          <w:u w:val="single"/>
        </w:rPr>
        <w:t xml:space="preserve">El Tribunal de </w:t>
      </w:r>
      <w:r w:rsidR="00D27EC2" w:rsidRPr="00D81472">
        <w:rPr>
          <w:rFonts w:ascii="Baskerville" w:hAnsi="Baskerville" w:cs="Times New Roman"/>
          <w:b/>
          <w:u w:val="single"/>
        </w:rPr>
        <w:t>Defensa de la Libre Competencia y</w:t>
      </w:r>
      <w:r w:rsidRPr="00D81472">
        <w:rPr>
          <w:rFonts w:ascii="Baskerville" w:hAnsi="Baskerville" w:cs="Times New Roman"/>
          <w:b/>
          <w:u w:val="single"/>
        </w:rPr>
        <w:t xml:space="preserve"> sus jueces </w:t>
      </w:r>
      <w:r w:rsidR="002608EE" w:rsidRPr="00D81472">
        <w:rPr>
          <w:rFonts w:ascii="Baskerville" w:hAnsi="Baskerville" w:cs="Times New Roman"/>
          <w:b/>
          <w:u w:val="single"/>
        </w:rPr>
        <w:t>sentenciadores que</w:t>
      </w:r>
      <w:r w:rsidR="008D020B" w:rsidRPr="00D81472">
        <w:rPr>
          <w:rFonts w:ascii="Baskerville" w:hAnsi="Baskerville" w:cs="Times New Roman"/>
          <w:b/>
          <w:u w:val="single"/>
        </w:rPr>
        <w:t xml:space="preserve"> ¿también? </w:t>
      </w:r>
      <w:r w:rsidR="002608EE" w:rsidRPr="00D81472">
        <w:rPr>
          <w:rFonts w:ascii="Baskerville" w:hAnsi="Baskerville" w:cs="Times New Roman"/>
          <w:b/>
          <w:u w:val="single"/>
        </w:rPr>
        <w:t>aplican</w:t>
      </w:r>
      <w:r w:rsidR="00D27EC2" w:rsidRPr="00D81472">
        <w:rPr>
          <w:rFonts w:ascii="Baskerville" w:hAnsi="Baskerville" w:cs="Times New Roman"/>
          <w:b/>
          <w:u w:val="single"/>
        </w:rPr>
        <w:t xml:space="preserve"> Políticas P</w:t>
      </w:r>
      <w:r w:rsidRPr="00D81472">
        <w:rPr>
          <w:rFonts w:ascii="Baskerville" w:hAnsi="Baskerville" w:cs="Times New Roman"/>
          <w:b/>
          <w:u w:val="single"/>
        </w:rPr>
        <w:t>úblicas.</w:t>
      </w:r>
      <w:r w:rsidR="002608EE" w:rsidRPr="00D81472">
        <w:rPr>
          <w:rFonts w:ascii="Baskerville" w:hAnsi="Baskerville" w:cs="Times New Roman"/>
        </w:rPr>
        <w:t xml:space="preserve"> </w:t>
      </w:r>
    </w:p>
    <w:p w14:paraId="26D32B78" w14:textId="77777777" w:rsidR="002608EE" w:rsidRPr="00D81472" w:rsidRDefault="002608EE" w:rsidP="00D81472">
      <w:pPr>
        <w:spacing w:line="276" w:lineRule="auto"/>
        <w:jc w:val="both"/>
        <w:rPr>
          <w:rFonts w:ascii="Baskerville" w:hAnsi="Baskerville" w:cs="Times New Roman"/>
        </w:rPr>
      </w:pPr>
    </w:p>
    <w:p w14:paraId="0E375950" w14:textId="29696216" w:rsidR="000C1BFB" w:rsidRPr="00D81472" w:rsidRDefault="000C1BFB" w:rsidP="00D81472">
      <w:pPr>
        <w:spacing w:line="276" w:lineRule="auto"/>
        <w:jc w:val="both"/>
        <w:rPr>
          <w:rFonts w:ascii="Baskerville" w:hAnsi="Baskerville" w:cs="Times New Roman"/>
        </w:rPr>
      </w:pPr>
      <w:r w:rsidRPr="00D81472">
        <w:rPr>
          <w:rFonts w:ascii="Baskerville" w:hAnsi="Baskerville" w:cs="Times New Roman"/>
        </w:rPr>
        <w:t>La bibliografía en el D</w:t>
      </w:r>
      <w:r w:rsidR="002608EE" w:rsidRPr="00D81472">
        <w:rPr>
          <w:rFonts w:ascii="Baskerville" w:hAnsi="Baskerville" w:cs="Times New Roman"/>
        </w:rPr>
        <w:t>erecho de la Libre Competencia, así como los especialistas administrativistas</w:t>
      </w:r>
      <w:r w:rsidRPr="00D81472">
        <w:rPr>
          <w:rFonts w:ascii="Baskerville" w:hAnsi="Baskerville" w:cs="Times New Roman"/>
        </w:rPr>
        <w:t>, aún están asombrados por la</w:t>
      </w:r>
      <w:r w:rsidR="002608EE" w:rsidRPr="00D81472">
        <w:rPr>
          <w:rFonts w:ascii="Baskerville" w:hAnsi="Baskerville" w:cs="Times New Roman"/>
        </w:rPr>
        <w:t xml:space="preserve"> rareza institucional creada </w:t>
      </w:r>
      <w:r w:rsidR="00892FBB" w:rsidRPr="00D81472">
        <w:rPr>
          <w:rFonts w:ascii="Baskerville" w:hAnsi="Baskerville" w:cs="Times New Roman"/>
        </w:rPr>
        <w:t xml:space="preserve">en </w:t>
      </w:r>
      <w:r w:rsidRPr="00D81472">
        <w:rPr>
          <w:rFonts w:ascii="Baskerville" w:hAnsi="Baskerville" w:cs="Times New Roman"/>
        </w:rPr>
        <w:t>la ley 19.911 de 2003 que modificó el</w:t>
      </w:r>
      <w:r w:rsidR="003C29BF" w:rsidRPr="00D81472">
        <w:rPr>
          <w:rFonts w:ascii="Baskerville" w:hAnsi="Baskerville" w:cs="Times New Roman"/>
        </w:rPr>
        <w:t xml:space="preserve"> Decreto de Ley 211</w:t>
      </w:r>
      <w:r w:rsidR="00214EBE" w:rsidRPr="00D81472">
        <w:rPr>
          <w:rFonts w:ascii="Baskerville" w:hAnsi="Baskerville" w:cs="Times New Roman"/>
        </w:rPr>
        <w:t xml:space="preserve"> denominada</w:t>
      </w:r>
      <w:r w:rsidR="003C29BF" w:rsidRPr="00D81472">
        <w:rPr>
          <w:rFonts w:ascii="Baskerville" w:hAnsi="Baskerville" w:cs="Times New Roman"/>
        </w:rPr>
        <w:t xml:space="preserve"> “Tribunal de Defensa de la Libre Competencia</w:t>
      </w:r>
      <w:r w:rsidR="00D9521C" w:rsidRPr="00D81472">
        <w:rPr>
          <w:rFonts w:ascii="Baskerville" w:hAnsi="Baskerville" w:cs="Times New Roman"/>
        </w:rPr>
        <w:t xml:space="preserve"> (TDLC)</w:t>
      </w:r>
      <w:r w:rsidR="003C29BF" w:rsidRPr="00D81472">
        <w:rPr>
          <w:rFonts w:ascii="Baskerville" w:hAnsi="Baskerville" w:cs="Times New Roman"/>
        </w:rPr>
        <w:t>”</w:t>
      </w:r>
      <w:r w:rsidRPr="00D81472">
        <w:rPr>
          <w:rFonts w:ascii="Baskerville" w:hAnsi="Baskerville" w:cs="Times New Roman"/>
        </w:rPr>
        <w:t xml:space="preserve"> que en la prá</w:t>
      </w:r>
      <w:r w:rsidR="001B6D65" w:rsidRPr="00D81472">
        <w:rPr>
          <w:rFonts w:ascii="Baskerville" w:hAnsi="Baskerville" w:cs="Times New Roman"/>
        </w:rPr>
        <w:t>ctica significó el reemplazo de l</w:t>
      </w:r>
      <w:r w:rsidRPr="00D81472">
        <w:rPr>
          <w:rFonts w:ascii="Baskerville" w:hAnsi="Baskerville" w:cs="Times New Roman"/>
        </w:rPr>
        <w:t>a antigua “Com</w:t>
      </w:r>
      <w:r w:rsidR="00D27EC2" w:rsidRPr="00D81472">
        <w:rPr>
          <w:rFonts w:ascii="Baskerville" w:hAnsi="Baskerville" w:cs="Times New Roman"/>
        </w:rPr>
        <w:t>isión Preventiva y Resolutiva”. De esta manera</w:t>
      </w:r>
      <w:r w:rsidR="001B6D65" w:rsidRPr="00D81472">
        <w:rPr>
          <w:rFonts w:ascii="Baskerville" w:hAnsi="Baskerville" w:cs="Times New Roman"/>
        </w:rPr>
        <w:t>,</w:t>
      </w:r>
      <w:r w:rsidR="00D27EC2" w:rsidRPr="00D81472">
        <w:rPr>
          <w:rFonts w:ascii="Baskerville" w:hAnsi="Baskerville" w:cs="Times New Roman"/>
        </w:rPr>
        <w:t xml:space="preserve"> surgieron </w:t>
      </w:r>
      <w:r w:rsidR="001B6D65" w:rsidRPr="00D81472">
        <w:rPr>
          <w:rFonts w:ascii="Baskerville" w:hAnsi="Baskerville" w:cs="Times New Roman"/>
        </w:rPr>
        <w:t>posiciones</w:t>
      </w:r>
      <w:r w:rsidR="00D27EC2" w:rsidRPr="00D81472">
        <w:rPr>
          <w:rFonts w:ascii="Baskerville" w:hAnsi="Baskerville" w:cs="Times New Roman"/>
        </w:rPr>
        <w:t xml:space="preserve"> que señalaban que</w:t>
      </w:r>
      <w:r w:rsidRPr="00D81472">
        <w:rPr>
          <w:rFonts w:ascii="Baskerville" w:hAnsi="Baskerville" w:cs="Times New Roman"/>
        </w:rPr>
        <w:t xml:space="preserve"> la palabra “Tribunal” en ocasiones se ve sobrepasada por sus</w:t>
      </w:r>
      <w:r w:rsidR="00892FBB" w:rsidRPr="00D81472">
        <w:rPr>
          <w:rFonts w:ascii="Baskerville" w:hAnsi="Baskerville" w:cs="Times New Roman"/>
        </w:rPr>
        <w:t xml:space="preserve"> propias</w:t>
      </w:r>
      <w:r w:rsidRPr="00D81472">
        <w:rPr>
          <w:rFonts w:ascii="Baskerville" w:hAnsi="Baskerville" w:cs="Times New Roman"/>
        </w:rPr>
        <w:t xml:space="preserve"> atribuciones, y en otras –muchas para </w:t>
      </w:r>
      <w:r w:rsidR="00D27EC2" w:rsidRPr="00D81472">
        <w:rPr>
          <w:rFonts w:ascii="Baskerville" w:hAnsi="Baskerville" w:cs="Times New Roman"/>
        </w:rPr>
        <w:t>otros</w:t>
      </w:r>
      <w:r w:rsidRPr="00D81472">
        <w:rPr>
          <w:rFonts w:ascii="Baskerville" w:hAnsi="Baskerville" w:cs="Times New Roman"/>
        </w:rPr>
        <w:t xml:space="preserve">- su peso técnico </w:t>
      </w:r>
      <w:r w:rsidR="00D27EC2" w:rsidRPr="00D81472">
        <w:rPr>
          <w:rFonts w:ascii="Baskerville" w:hAnsi="Baskerville" w:cs="Times New Roman"/>
        </w:rPr>
        <w:t>es infravalorado</w:t>
      </w:r>
      <w:r w:rsidR="003C29BF" w:rsidRPr="00D81472">
        <w:rPr>
          <w:rFonts w:ascii="Baskerville" w:hAnsi="Baskerville" w:cs="Times New Roman"/>
        </w:rPr>
        <w:t xml:space="preserve">. </w:t>
      </w:r>
      <w:r w:rsidR="00D9521C" w:rsidRPr="00D81472">
        <w:rPr>
          <w:rFonts w:ascii="Baskerville" w:hAnsi="Baskerville" w:cs="Times New Roman"/>
        </w:rPr>
        <w:t xml:space="preserve"> </w:t>
      </w:r>
    </w:p>
    <w:p w14:paraId="260B45C6" w14:textId="77777777" w:rsidR="00D9521C" w:rsidRPr="00D81472" w:rsidRDefault="00D9521C" w:rsidP="00D81472">
      <w:pPr>
        <w:spacing w:line="276" w:lineRule="auto"/>
        <w:jc w:val="both"/>
        <w:rPr>
          <w:rFonts w:ascii="Baskerville" w:hAnsi="Baskerville" w:cs="Times New Roman"/>
        </w:rPr>
      </w:pPr>
    </w:p>
    <w:p w14:paraId="703F8D9F" w14:textId="6B4795F7" w:rsidR="00D9521C" w:rsidRPr="00D81472" w:rsidRDefault="00D9521C" w:rsidP="00D81472">
      <w:pPr>
        <w:spacing w:line="276" w:lineRule="auto"/>
        <w:jc w:val="both"/>
        <w:rPr>
          <w:rFonts w:ascii="Baskerville" w:hAnsi="Baskerville" w:cs="Times New Roman"/>
        </w:rPr>
      </w:pPr>
      <w:r w:rsidRPr="00D81472">
        <w:rPr>
          <w:rFonts w:ascii="Baskerville" w:hAnsi="Baskerville" w:cs="Times New Roman"/>
        </w:rPr>
        <w:t>Particularmente</w:t>
      </w:r>
      <w:r w:rsidR="00892FBB" w:rsidRPr="00D81472">
        <w:rPr>
          <w:rFonts w:ascii="Baskerville" w:hAnsi="Baskerville" w:cs="Times New Roman"/>
        </w:rPr>
        <w:t>,</w:t>
      </w:r>
      <w:r w:rsidRPr="00D81472">
        <w:rPr>
          <w:rFonts w:ascii="Baskerville" w:hAnsi="Baskerville" w:cs="Times New Roman"/>
        </w:rPr>
        <w:t xml:space="preserve"> </w:t>
      </w:r>
      <w:r w:rsidR="001B6D65" w:rsidRPr="00D81472">
        <w:rPr>
          <w:rFonts w:ascii="Baskerville" w:hAnsi="Baskerville" w:cs="Times New Roman"/>
        </w:rPr>
        <w:t xml:space="preserve">en </w:t>
      </w:r>
      <w:r w:rsidRPr="00D81472">
        <w:rPr>
          <w:rFonts w:ascii="Baskerville" w:hAnsi="Baskerville" w:cs="Times New Roman"/>
        </w:rPr>
        <w:t xml:space="preserve">el artículo 5 del Decreto de ley 211, el TDLC </w:t>
      </w:r>
      <w:r w:rsidR="001B6D65" w:rsidRPr="00D81472">
        <w:rPr>
          <w:rFonts w:ascii="Baskerville" w:hAnsi="Baskerville" w:cs="Times New Roman"/>
        </w:rPr>
        <w:t>es definido</w:t>
      </w:r>
      <w:r w:rsidRPr="00D81472">
        <w:rPr>
          <w:rFonts w:ascii="Baskerville" w:hAnsi="Baskerville" w:cs="Times New Roman"/>
        </w:rPr>
        <w:t xml:space="preserve"> como </w:t>
      </w:r>
      <w:r w:rsidR="00AA396E" w:rsidRPr="00D81472">
        <w:rPr>
          <w:rFonts w:ascii="Baskerville" w:hAnsi="Baskerville" w:cs="Times New Roman"/>
        </w:rPr>
        <w:t xml:space="preserve">un </w:t>
      </w:r>
      <w:r w:rsidR="00AA396E" w:rsidRPr="00D81472">
        <w:rPr>
          <w:rFonts w:ascii="Baskerville" w:hAnsi="Baskerville" w:cs="Times New Roman"/>
          <w:i/>
        </w:rPr>
        <w:t>órgano jurisdiccional</w:t>
      </w:r>
      <w:r w:rsidR="00AA396E" w:rsidRPr="00D81472">
        <w:rPr>
          <w:rFonts w:ascii="Baskerville" w:hAnsi="Baskerville" w:cs="Times New Roman"/>
        </w:rPr>
        <w:t xml:space="preserve"> especial e independiente, </w:t>
      </w:r>
      <w:r w:rsidR="00AA396E" w:rsidRPr="00D81472">
        <w:rPr>
          <w:rFonts w:ascii="Baskerville" w:hAnsi="Baskerville" w:cs="Times New Roman"/>
          <w:i/>
        </w:rPr>
        <w:t>sujeto a la superintendencia directiva, correccional y económica de la Corte Suprema</w:t>
      </w:r>
      <w:r w:rsidR="00AA396E" w:rsidRPr="00D81472">
        <w:rPr>
          <w:rFonts w:ascii="Baskerville" w:hAnsi="Baskerville" w:cs="Times New Roman"/>
        </w:rPr>
        <w:t xml:space="preserve">, cuya función será </w:t>
      </w:r>
      <w:r w:rsidR="00AA396E" w:rsidRPr="00D81472">
        <w:rPr>
          <w:rFonts w:ascii="Baskerville" w:hAnsi="Baskerville" w:cs="Times New Roman"/>
          <w:i/>
        </w:rPr>
        <w:t>prevenir, corregir y sancionar</w:t>
      </w:r>
      <w:r w:rsidR="00AA396E" w:rsidRPr="00D81472">
        <w:rPr>
          <w:rFonts w:ascii="Baskerville" w:hAnsi="Baskerville" w:cs="Times New Roman"/>
        </w:rPr>
        <w:t xml:space="preserve"> los atentados a la libre competencia.</w:t>
      </w:r>
    </w:p>
    <w:p w14:paraId="0A942E9C" w14:textId="365FA929" w:rsidR="00600BD5" w:rsidRPr="00D81472" w:rsidRDefault="003C29BF" w:rsidP="00D81472">
      <w:pPr>
        <w:spacing w:line="276" w:lineRule="auto"/>
        <w:jc w:val="both"/>
        <w:rPr>
          <w:rFonts w:ascii="Baskerville" w:hAnsi="Baskerville" w:cs="Times New Roman"/>
        </w:rPr>
      </w:pPr>
      <w:r w:rsidRPr="00D81472">
        <w:rPr>
          <w:rFonts w:ascii="Baskerville" w:hAnsi="Baskerville" w:cs="Times New Roman"/>
        </w:rPr>
        <w:lastRenderedPageBreak/>
        <w:t xml:space="preserve">Este tribunal es considerado </w:t>
      </w:r>
      <w:r w:rsidR="00892FBB" w:rsidRPr="00D81472">
        <w:rPr>
          <w:rFonts w:ascii="Baskerville" w:hAnsi="Baskerville" w:cs="Times New Roman"/>
        </w:rPr>
        <w:t>como excepción</w:t>
      </w:r>
      <w:r w:rsidR="00D9521C" w:rsidRPr="00D81472">
        <w:rPr>
          <w:rFonts w:ascii="Baskerville" w:hAnsi="Baskerville" w:cs="Times New Roman"/>
        </w:rPr>
        <w:t xml:space="preserve"> jurídica</w:t>
      </w:r>
      <w:r w:rsidR="00892FBB" w:rsidRPr="00D81472">
        <w:rPr>
          <w:rFonts w:ascii="Baskerville" w:hAnsi="Baskerville" w:cs="Times New Roman"/>
        </w:rPr>
        <w:t>,</w:t>
      </w:r>
      <w:r w:rsidR="00D9521C" w:rsidRPr="00D81472">
        <w:rPr>
          <w:rFonts w:ascii="Baskerville" w:hAnsi="Baskerville" w:cs="Times New Roman"/>
        </w:rPr>
        <w:t xml:space="preserve"> desde el pri</w:t>
      </w:r>
      <w:r w:rsidR="00AA396E" w:rsidRPr="00D81472">
        <w:rPr>
          <w:rFonts w:ascii="Baskerville" w:hAnsi="Baskerville" w:cs="Times New Roman"/>
        </w:rPr>
        <w:t>s</w:t>
      </w:r>
      <w:r w:rsidR="00D9521C" w:rsidRPr="00D81472">
        <w:rPr>
          <w:rFonts w:ascii="Baskerville" w:hAnsi="Baskerville" w:cs="Times New Roman"/>
        </w:rPr>
        <w:t>ma</w:t>
      </w:r>
      <w:r w:rsidRPr="00D81472">
        <w:rPr>
          <w:rFonts w:ascii="Baskerville" w:hAnsi="Baskerville" w:cs="Times New Roman"/>
        </w:rPr>
        <w:t xml:space="preserve"> que se </w:t>
      </w:r>
      <w:r w:rsidR="00600BD5" w:rsidRPr="00D81472">
        <w:rPr>
          <w:rFonts w:ascii="Baskerville" w:hAnsi="Baskerville" w:cs="Times New Roman"/>
        </w:rPr>
        <w:t>mire,</w:t>
      </w:r>
      <w:r w:rsidR="00D9521C" w:rsidRPr="00D81472">
        <w:rPr>
          <w:rFonts w:ascii="Baskerville" w:hAnsi="Baskerville" w:cs="Times New Roman"/>
        </w:rPr>
        <w:t xml:space="preserve"> incluso se ha señalado que</w:t>
      </w:r>
      <w:r w:rsidR="0096588A" w:rsidRPr="00D81472">
        <w:rPr>
          <w:rFonts w:ascii="Baskerville" w:hAnsi="Baskerville" w:cs="Times New Roman"/>
        </w:rPr>
        <w:t>,</w:t>
      </w:r>
      <w:r w:rsidR="00600BD5" w:rsidRPr="00D81472">
        <w:rPr>
          <w:rFonts w:ascii="Baskerville" w:hAnsi="Baskerville" w:cs="Times New Roman"/>
        </w:rPr>
        <w:t xml:space="preserve"> “</w:t>
      </w:r>
      <w:r w:rsidR="00214EBE" w:rsidRPr="00D81472">
        <w:rPr>
          <w:rFonts w:ascii="Baskerville" w:hAnsi="Baskerville" w:cs="Times New Roman"/>
        </w:rPr>
        <w:t>p</w:t>
      </w:r>
      <w:r w:rsidR="00600BD5" w:rsidRPr="00D81472">
        <w:rPr>
          <w:rFonts w:ascii="Baskerville" w:hAnsi="Baskerville" w:cs="Times New Roman"/>
        </w:rPr>
        <w:t xml:space="preserve">aradójicamente, el Tribunal de Defensa de la Libre Competencia es más que un órgano jurisdiccional, puesto que exhibe una variedad de funciones </w:t>
      </w:r>
      <w:r w:rsidR="007A5F95" w:rsidRPr="00D81472">
        <w:rPr>
          <w:rFonts w:ascii="Baskerville" w:hAnsi="Baskerville" w:cs="Times New Roman"/>
        </w:rPr>
        <w:t>extra jurisdiccionales</w:t>
      </w:r>
      <w:r w:rsidR="00600BD5" w:rsidRPr="00D81472">
        <w:rPr>
          <w:rFonts w:ascii="Baskerville" w:hAnsi="Baskerville" w:cs="Times New Roman"/>
        </w:rPr>
        <w:t xml:space="preserve"> inusuales en un tribunal, lo que ha llevado a ciertas confusiones en la caracterización del mismo”</w:t>
      </w:r>
      <w:r w:rsidR="00E60369" w:rsidRPr="00D81472">
        <w:rPr>
          <w:rStyle w:val="Refdenotaalpie"/>
          <w:rFonts w:ascii="Baskerville" w:hAnsi="Baskerville" w:cs="Times New Roman"/>
        </w:rPr>
        <w:footnoteReference w:id="1"/>
      </w:r>
      <w:r w:rsidR="00D9521C" w:rsidRPr="00D81472">
        <w:rPr>
          <w:rFonts w:ascii="Baskerville" w:hAnsi="Baskerville" w:cs="Times New Roman"/>
        </w:rPr>
        <w:t xml:space="preserve">. </w:t>
      </w:r>
    </w:p>
    <w:p w14:paraId="43CEF6E3" w14:textId="77777777" w:rsidR="00F3724A" w:rsidRPr="00D81472" w:rsidRDefault="00F3724A" w:rsidP="00D81472">
      <w:pPr>
        <w:spacing w:line="276" w:lineRule="auto"/>
        <w:jc w:val="both"/>
        <w:rPr>
          <w:rFonts w:ascii="Baskerville" w:hAnsi="Baskerville" w:cs="Times New Roman"/>
        </w:rPr>
      </w:pPr>
    </w:p>
    <w:p w14:paraId="03938E8B" w14:textId="691A1621" w:rsidR="00F3724A" w:rsidRPr="00D81472" w:rsidRDefault="0096588A" w:rsidP="00D81472">
      <w:pPr>
        <w:spacing w:line="276" w:lineRule="auto"/>
        <w:jc w:val="both"/>
        <w:rPr>
          <w:rFonts w:ascii="Baskerville" w:hAnsi="Baskerville" w:cs="Times New Roman"/>
        </w:rPr>
      </w:pPr>
      <w:r w:rsidRPr="00D81472">
        <w:rPr>
          <w:rFonts w:ascii="Baskerville" w:hAnsi="Baskerville" w:cs="Times New Roman"/>
        </w:rPr>
        <w:t>Esto último se ve reforzado por el</w:t>
      </w:r>
      <w:r w:rsidR="00F3724A" w:rsidRPr="00D81472">
        <w:rPr>
          <w:rFonts w:ascii="Baskerville" w:hAnsi="Baskerville" w:cs="Times New Roman"/>
        </w:rPr>
        <w:t xml:space="preserve"> carácter de defensor de la libre competencia que </w:t>
      </w:r>
      <w:r w:rsidR="00806579" w:rsidRPr="00D81472">
        <w:rPr>
          <w:rFonts w:ascii="Baskerville" w:hAnsi="Baskerville" w:cs="Times New Roman"/>
        </w:rPr>
        <w:t>observamos</w:t>
      </w:r>
      <w:r w:rsidR="00F3724A" w:rsidRPr="00D81472">
        <w:rPr>
          <w:rFonts w:ascii="Baskerville" w:hAnsi="Baskerville" w:cs="Times New Roman"/>
        </w:rPr>
        <w:t xml:space="preserve"> en la parte final del </w:t>
      </w:r>
      <w:r w:rsidR="008D020B" w:rsidRPr="00D81472">
        <w:rPr>
          <w:rFonts w:ascii="Baskerville" w:hAnsi="Baskerville" w:cs="Times New Roman"/>
        </w:rPr>
        <w:t>texto</w:t>
      </w:r>
      <w:r w:rsidR="00F3724A" w:rsidRPr="00D81472">
        <w:rPr>
          <w:rFonts w:ascii="Baskerville" w:hAnsi="Baskerville" w:cs="Times New Roman"/>
        </w:rPr>
        <w:t xml:space="preserve"> antes citado</w:t>
      </w:r>
      <w:r w:rsidRPr="00D81472">
        <w:rPr>
          <w:rFonts w:ascii="Baskerville" w:hAnsi="Baskerville" w:cs="Times New Roman"/>
        </w:rPr>
        <w:t>, el cual</w:t>
      </w:r>
      <w:r w:rsidR="00F3724A" w:rsidRPr="00D81472">
        <w:rPr>
          <w:rFonts w:ascii="Baskerville" w:hAnsi="Baskerville" w:cs="Times New Roman"/>
        </w:rPr>
        <w:t xml:space="preserve"> </w:t>
      </w:r>
      <w:r w:rsidRPr="00D81472">
        <w:rPr>
          <w:rFonts w:ascii="Baskerville" w:hAnsi="Baskerville" w:cs="Times New Roman"/>
        </w:rPr>
        <w:t xml:space="preserve">ha sido </w:t>
      </w:r>
      <w:r w:rsidR="00806579" w:rsidRPr="00D81472">
        <w:rPr>
          <w:rFonts w:ascii="Baskerville" w:hAnsi="Baskerville" w:cs="Times New Roman"/>
        </w:rPr>
        <w:t>considerado</w:t>
      </w:r>
      <w:r w:rsidR="00F3724A" w:rsidRPr="00D81472">
        <w:rPr>
          <w:rFonts w:ascii="Baskerville" w:hAnsi="Baskerville" w:cs="Times New Roman"/>
        </w:rPr>
        <w:t xml:space="preserve"> como un “cheque en blanco”</w:t>
      </w:r>
      <w:r w:rsidR="00F3724A" w:rsidRPr="00D81472">
        <w:rPr>
          <w:rStyle w:val="Refdenotaalpie"/>
          <w:rFonts w:ascii="Baskerville" w:hAnsi="Baskerville" w:cs="Times New Roman"/>
        </w:rPr>
        <w:footnoteReference w:id="2"/>
      </w:r>
      <w:r w:rsidR="00F3724A" w:rsidRPr="00D81472">
        <w:rPr>
          <w:rFonts w:ascii="Baskerville" w:hAnsi="Baskerville" w:cs="Times New Roman"/>
        </w:rPr>
        <w:t xml:space="preserve"> normativo.</w:t>
      </w:r>
      <w:r w:rsidR="00806579" w:rsidRPr="00D81472">
        <w:rPr>
          <w:rFonts w:ascii="Baskerville" w:hAnsi="Baskerville" w:cs="Times New Roman"/>
        </w:rPr>
        <w:t xml:space="preserve"> </w:t>
      </w:r>
    </w:p>
    <w:p w14:paraId="3832EB54" w14:textId="77777777" w:rsidR="00806579" w:rsidRPr="00D81472" w:rsidRDefault="00806579" w:rsidP="00D81472">
      <w:pPr>
        <w:spacing w:line="276" w:lineRule="auto"/>
        <w:jc w:val="both"/>
        <w:rPr>
          <w:rFonts w:ascii="Baskerville" w:hAnsi="Baskerville" w:cs="Times New Roman"/>
        </w:rPr>
      </w:pPr>
    </w:p>
    <w:p w14:paraId="45F32D6C" w14:textId="4C5B182E" w:rsidR="00806579" w:rsidRPr="00D81472" w:rsidRDefault="008D020B" w:rsidP="00D81472">
      <w:pPr>
        <w:spacing w:line="276" w:lineRule="auto"/>
        <w:jc w:val="both"/>
        <w:rPr>
          <w:rFonts w:ascii="Baskerville" w:hAnsi="Baskerville" w:cs="Times New Roman"/>
        </w:rPr>
      </w:pPr>
      <w:r w:rsidRPr="00D81472">
        <w:rPr>
          <w:rFonts w:ascii="Baskerville" w:hAnsi="Baskerville" w:cs="Times New Roman"/>
        </w:rPr>
        <w:t>Sin embargo, otros autores</w:t>
      </w:r>
      <w:r w:rsidR="00806579" w:rsidRPr="00D81472">
        <w:rPr>
          <w:rFonts w:ascii="Baskerville" w:hAnsi="Baskerville" w:cs="Times New Roman"/>
        </w:rPr>
        <w:t xml:space="preserve"> creen que las facultades del TDLC “han sacado aspectos positivos de los dos mundos; de los órganos administrativos (…) su especialización, carácter técnico, composición mixta y facultades normativas y, de los tribunales, su independencia y finalidad de administrar justicia”</w:t>
      </w:r>
      <w:r w:rsidR="00806579" w:rsidRPr="00D81472">
        <w:rPr>
          <w:rStyle w:val="Refdenotaalpie"/>
          <w:rFonts w:ascii="Baskerville" w:hAnsi="Baskerville" w:cs="Times New Roman"/>
        </w:rPr>
        <w:footnoteReference w:id="3"/>
      </w:r>
      <w:r w:rsidR="00494048" w:rsidRPr="00D81472">
        <w:rPr>
          <w:rFonts w:ascii="Baskerville" w:hAnsi="Baskerville" w:cs="Times New Roman"/>
        </w:rPr>
        <w:t xml:space="preserve">. </w:t>
      </w:r>
    </w:p>
    <w:p w14:paraId="6BB1187A" w14:textId="77777777" w:rsidR="00494048" w:rsidRPr="00D81472" w:rsidRDefault="00494048" w:rsidP="00D81472">
      <w:pPr>
        <w:spacing w:line="276" w:lineRule="auto"/>
        <w:jc w:val="both"/>
        <w:rPr>
          <w:rFonts w:ascii="Baskerville" w:hAnsi="Baskerville" w:cs="Times New Roman"/>
        </w:rPr>
      </w:pPr>
    </w:p>
    <w:p w14:paraId="761DBCF6" w14:textId="2C812B8C" w:rsidR="000771BC" w:rsidRPr="00D81472" w:rsidRDefault="00494048" w:rsidP="00D81472">
      <w:pPr>
        <w:spacing w:line="276" w:lineRule="auto"/>
        <w:jc w:val="both"/>
        <w:rPr>
          <w:rFonts w:ascii="Baskerville" w:hAnsi="Baskerville" w:cs="Times New Roman"/>
        </w:rPr>
      </w:pPr>
      <w:r w:rsidRPr="00D81472">
        <w:rPr>
          <w:rFonts w:ascii="Baskerville" w:hAnsi="Baskerville" w:cs="Times New Roman"/>
        </w:rPr>
        <w:t xml:space="preserve">En este sentido, </w:t>
      </w:r>
      <w:r w:rsidR="008D020B" w:rsidRPr="00D81472">
        <w:rPr>
          <w:rFonts w:ascii="Baskerville" w:hAnsi="Baskerville" w:cs="Times New Roman"/>
        </w:rPr>
        <w:t>existe consenso en</w:t>
      </w:r>
      <w:r w:rsidR="000771BC" w:rsidRPr="00D81472">
        <w:rPr>
          <w:rFonts w:ascii="Baskerville" w:hAnsi="Baskerville" w:cs="Times New Roman"/>
        </w:rPr>
        <w:t xml:space="preserve"> que este tribunal</w:t>
      </w:r>
      <w:r w:rsidRPr="00D81472">
        <w:rPr>
          <w:rFonts w:ascii="Baskerville" w:hAnsi="Baskerville" w:cs="Times New Roman"/>
        </w:rPr>
        <w:t xml:space="preserve"> </w:t>
      </w:r>
      <w:r w:rsidR="008D020B" w:rsidRPr="00D81472">
        <w:rPr>
          <w:rFonts w:ascii="Baskerville" w:hAnsi="Baskerville" w:cs="Times New Roman"/>
        </w:rPr>
        <w:t xml:space="preserve">detenta </w:t>
      </w:r>
      <w:r w:rsidRPr="00D81472">
        <w:rPr>
          <w:rFonts w:ascii="Baskerville" w:hAnsi="Baskerville" w:cs="Times New Roman"/>
        </w:rPr>
        <w:t>facultades</w:t>
      </w:r>
      <w:r w:rsidR="008D020B" w:rsidRPr="00D81472">
        <w:rPr>
          <w:rFonts w:ascii="Baskerville" w:hAnsi="Baskerville" w:cs="Times New Roman"/>
        </w:rPr>
        <w:t xml:space="preserve"> tanto</w:t>
      </w:r>
      <w:r w:rsidRPr="00D81472">
        <w:rPr>
          <w:rFonts w:ascii="Baskerville" w:hAnsi="Baskerville" w:cs="Times New Roman"/>
        </w:rPr>
        <w:t xml:space="preserve"> </w:t>
      </w:r>
      <w:r w:rsidRPr="00D81472">
        <w:rPr>
          <w:rFonts w:ascii="Baskerville" w:hAnsi="Baskerville" w:cs="Times New Roman"/>
          <w:i/>
        </w:rPr>
        <w:t>jurisdiccionales</w:t>
      </w:r>
      <w:r w:rsidRPr="00D81472">
        <w:rPr>
          <w:rFonts w:ascii="Baskerville" w:hAnsi="Baskerville" w:cs="Times New Roman"/>
        </w:rPr>
        <w:t xml:space="preserve"> como </w:t>
      </w:r>
      <w:r w:rsidRPr="00D81472">
        <w:rPr>
          <w:rFonts w:ascii="Baskerville" w:hAnsi="Baskerville" w:cs="Times New Roman"/>
          <w:i/>
        </w:rPr>
        <w:t>extrajuridiccionales</w:t>
      </w:r>
      <w:r w:rsidRPr="00D81472">
        <w:rPr>
          <w:rFonts w:ascii="Baskerville" w:hAnsi="Baskerville" w:cs="Times New Roman"/>
        </w:rPr>
        <w:t>.</w:t>
      </w:r>
      <w:r w:rsidR="000771BC" w:rsidRPr="00D81472">
        <w:rPr>
          <w:rFonts w:ascii="Baskerville" w:hAnsi="Baskerville" w:cs="Times New Roman"/>
        </w:rPr>
        <w:t xml:space="preserve"> Las primeras, emanada</w:t>
      </w:r>
      <w:r w:rsidR="002275B4" w:rsidRPr="00D81472">
        <w:rPr>
          <w:rFonts w:ascii="Baskerville" w:hAnsi="Baskerville" w:cs="Times New Roman"/>
        </w:rPr>
        <w:t>s</w:t>
      </w:r>
      <w:r w:rsidR="000771BC" w:rsidRPr="00D81472">
        <w:rPr>
          <w:rFonts w:ascii="Baskerville" w:hAnsi="Baskerville" w:cs="Times New Roman"/>
        </w:rPr>
        <w:t xml:space="preserve"> de la </w:t>
      </w:r>
      <w:r w:rsidR="003C2D01" w:rsidRPr="00D81472">
        <w:rPr>
          <w:rFonts w:ascii="Baskerville" w:hAnsi="Baskerville" w:cs="Times New Roman"/>
        </w:rPr>
        <w:t xml:space="preserve">naturaleza </w:t>
      </w:r>
      <w:r w:rsidR="002275B4" w:rsidRPr="00D81472">
        <w:rPr>
          <w:rFonts w:ascii="Baskerville" w:hAnsi="Baskerville" w:cs="Times New Roman"/>
        </w:rPr>
        <w:t xml:space="preserve">misma </w:t>
      </w:r>
      <w:r w:rsidR="003C2D01" w:rsidRPr="00D81472">
        <w:rPr>
          <w:rFonts w:ascii="Baskerville" w:hAnsi="Baskerville" w:cs="Times New Roman"/>
        </w:rPr>
        <w:t>de todos los tribunales de Chile y</w:t>
      </w:r>
      <w:r w:rsidR="002275B4" w:rsidRPr="00D81472">
        <w:rPr>
          <w:rFonts w:ascii="Baskerville" w:hAnsi="Baskerville" w:cs="Times New Roman"/>
        </w:rPr>
        <w:t>,</w:t>
      </w:r>
      <w:r w:rsidR="003C2D01" w:rsidRPr="00D81472">
        <w:rPr>
          <w:rFonts w:ascii="Baskerville" w:hAnsi="Baskerville" w:cs="Times New Roman"/>
        </w:rPr>
        <w:t xml:space="preserve"> la segunda</w:t>
      </w:r>
      <w:r w:rsidR="002275B4" w:rsidRPr="00D81472">
        <w:rPr>
          <w:rFonts w:ascii="Baskerville" w:hAnsi="Baskerville" w:cs="Times New Roman"/>
        </w:rPr>
        <w:t>, la</w:t>
      </w:r>
      <w:r w:rsidR="003C2D01" w:rsidRPr="00D81472">
        <w:rPr>
          <w:rFonts w:ascii="Baskerville" w:hAnsi="Baskerville" w:cs="Times New Roman"/>
        </w:rPr>
        <w:t xml:space="preserve"> que </w:t>
      </w:r>
      <w:r w:rsidR="000771BC" w:rsidRPr="00D81472">
        <w:rPr>
          <w:rFonts w:ascii="Baskerville" w:hAnsi="Baskerville" w:cs="Times New Roman"/>
        </w:rPr>
        <w:t>generalmente caracteriza a</w:t>
      </w:r>
      <w:r w:rsidR="003C2D01" w:rsidRPr="00D81472">
        <w:rPr>
          <w:rFonts w:ascii="Baskerville" w:hAnsi="Baskerville" w:cs="Times New Roman"/>
        </w:rPr>
        <w:t xml:space="preserve"> organismos administrativos como las Supe</w:t>
      </w:r>
      <w:r w:rsidR="002275B4" w:rsidRPr="00D81472">
        <w:rPr>
          <w:rFonts w:ascii="Baskerville" w:hAnsi="Baskerville" w:cs="Times New Roman"/>
        </w:rPr>
        <w:t>rintendencias y los Ministerios, l</w:t>
      </w:r>
      <w:r w:rsidR="003C2D01" w:rsidRPr="00D81472">
        <w:rPr>
          <w:rFonts w:ascii="Baskerville" w:hAnsi="Baskerville" w:cs="Times New Roman"/>
        </w:rPr>
        <w:t>os cuales tienen una función de implementación y resguardo de las políticas públicas de acuerdo al área que deben regular/supervigilar asignada</w:t>
      </w:r>
      <w:r w:rsidR="000771BC" w:rsidRPr="00D81472">
        <w:rPr>
          <w:rFonts w:ascii="Baskerville" w:hAnsi="Baskerville" w:cs="Times New Roman"/>
        </w:rPr>
        <w:t>s</w:t>
      </w:r>
      <w:r w:rsidR="003C2D01" w:rsidRPr="00D81472">
        <w:rPr>
          <w:rFonts w:ascii="Baskerville" w:hAnsi="Baskerville" w:cs="Times New Roman"/>
        </w:rPr>
        <w:t xml:space="preserve"> por mandato legal o constitucional. </w:t>
      </w:r>
    </w:p>
    <w:p w14:paraId="596EC98F" w14:textId="77777777" w:rsidR="000771BC" w:rsidRPr="00D81472" w:rsidRDefault="000771BC" w:rsidP="00D81472">
      <w:pPr>
        <w:spacing w:line="276" w:lineRule="auto"/>
        <w:jc w:val="both"/>
        <w:rPr>
          <w:rFonts w:ascii="Baskerville" w:hAnsi="Baskerville" w:cs="Times New Roman"/>
        </w:rPr>
      </w:pPr>
    </w:p>
    <w:p w14:paraId="7270756B" w14:textId="77777777" w:rsidR="008D020B" w:rsidRPr="00D81472" w:rsidRDefault="002275B4" w:rsidP="00D81472">
      <w:pPr>
        <w:spacing w:line="276" w:lineRule="auto"/>
        <w:jc w:val="both"/>
        <w:rPr>
          <w:rFonts w:ascii="Baskerville" w:hAnsi="Baskerville" w:cs="Times New Roman"/>
        </w:rPr>
      </w:pPr>
      <w:r w:rsidRPr="00D81472">
        <w:rPr>
          <w:rFonts w:ascii="Baskerville" w:hAnsi="Baskerville" w:cs="Times New Roman"/>
        </w:rPr>
        <w:t>En el inicio, u</w:t>
      </w:r>
      <w:r w:rsidR="000771BC" w:rsidRPr="00D81472">
        <w:rPr>
          <w:rFonts w:ascii="Baskerville" w:hAnsi="Baskerville" w:cs="Times New Roman"/>
        </w:rPr>
        <w:t>na explicación para radicar ambas f</w:t>
      </w:r>
      <w:r w:rsidRPr="00D81472">
        <w:rPr>
          <w:rFonts w:ascii="Baskerville" w:hAnsi="Baskerville" w:cs="Times New Roman"/>
        </w:rPr>
        <w:t>acultades en el TDLC se sustentó</w:t>
      </w:r>
      <w:r w:rsidR="000771BC" w:rsidRPr="00D81472">
        <w:rPr>
          <w:rFonts w:ascii="Baskerville" w:hAnsi="Baskerville" w:cs="Times New Roman"/>
        </w:rPr>
        <w:t xml:space="preserve"> en que, apropósito de la supuesta gran importancia de la Libre Competencia, es mejor abstraerla de cualquier vicio que proviniera de la contingencia pública (un argumento muy usado por tecnócratas) unido a que la estabilidad es intransable cuando se discuten este tipo de temas.</w:t>
      </w:r>
    </w:p>
    <w:p w14:paraId="6F6B0EF9" w14:textId="77777777" w:rsidR="008D020B" w:rsidRPr="00D81472" w:rsidRDefault="008D020B" w:rsidP="00D81472">
      <w:pPr>
        <w:spacing w:line="276" w:lineRule="auto"/>
        <w:jc w:val="both"/>
        <w:rPr>
          <w:rFonts w:ascii="Baskerville" w:hAnsi="Baskerville" w:cs="Times New Roman"/>
        </w:rPr>
      </w:pPr>
    </w:p>
    <w:p w14:paraId="0404EC72" w14:textId="6B498C36" w:rsidR="00494048" w:rsidRPr="00D81472" w:rsidRDefault="000771BC" w:rsidP="00D81472">
      <w:pPr>
        <w:spacing w:line="276" w:lineRule="auto"/>
        <w:jc w:val="both"/>
        <w:rPr>
          <w:rFonts w:ascii="Baskerville" w:hAnsi="Baskerville" w:cs="Times New Roman"/>
        </w:rPr>
      </w:pPr>
      <w:r w:rsidRPr="00D81472">
        <w:rPr>
          <w:rFonts w:ascii="Baskerville" w:hAnsi="Baskerville" w:cs="Times New Roman"/>
        </w:rPr>
        <w:t>Bajo esta concepción</w:t>
      </w:r>
      <w:r w:rsidR="008D020B" w:rsidRPr="00D81472">
        <w:rPr>
          <w:rFonts w:ascii="Baskerville" w:hAnsi="Baskerville" w:cs="Times New Roman"/>
        </w:rPr>
        <w:t>,</w:t>
      </w:r>
      <w:r w:rsidRPr="00D81472">
        <w:rPr>
          <w:rFonts w:ascii="Baskerville" w:hAnsi="Baskerville" w:cs="Times New Roman"/>
        </w:rPr>
        <w:t xml:space="preserve"> </w:t>
      </w:r>
      <w:r w:rsidR="00473F34" w:rsidRPr="00D81472">
        <w:rPr>
          <w:rFonts w:ascii="Baskerville" w:hAnsi="Baskerville" w:cs="Times New Roman"/>
        </w:rPr>
        <w:t xml:space="preserve">existen autores que señalan </w:t>
      </w:r>
      <w:r w:rsidRPr="00D81472">
        <w:rPr>
          <w:rFonts w:ascii="Baskerville" w:hAnsi="Baskerville" w:cs="Times New Roman"/>
        </w:rPr>
        <w:t>“</w:t>
      </w:r>
      <w:r w:rsidR="00473F34" w:rsidRPr="00D81472">
        <w:rPr>
          <w:rFonts w:ascii="Baskerville" w:hAnsi="Baskerville" w:cs="Times New Roman"/>
        </w:rPr>
        <w:t xml:space="preserve">que un diseño institucional basado en una aproximación orgánica habría implicado que se le hubiesen entregado estas facultades a la Fiscalía Nacional Económica, pero presumiblemente se tomó la </w:t>
      </w:r>
      <w:r w:rsidR="00473F34" w:rsidRPr="00D81472">
        <w:rPr>
          <w:rFonts w:ascii="Baskerville" w:hAnsi="Baskerville" w:cs="Times New Roman"/>
        </w:rPr>
        <w:lastRenderedPageBreak/>
        <w:t>decisión de asignarlas al TDLC, en consideración tanto del alto grado de independencia de este organismo respecto de intereses políticos o económicos, como de su idoneidad técnica en las materias que se le asignaron, factores que pueden colegirse del mecanismo de selección de sus integrantes”</w:t>
      </w:r>
      <w:r w:rsidRPr="00D81472">
        <w:rPr>
          <w:rStyle w:val="Refdenotaalpie"/>
          <w:rFonts w:ascii="Baskerville" w:hAnsi="Baskerville" w:cs="Times New Roman"/>
        </w:rPr>
        <w:footnoteReference w:id="4"/>
      </w:r>
      <w:r w:rsidRPr="00D81472">
        <w:rPr>
          <w:rFonts w:ascii="Baskerville" w:hAnsi="Baskerville" w:cs="Times New Roman"/>
        </w:rPr>
        <w:t>.</w:t>
      </w:r>
      <w:r w:rsidR="003C2D01" w:rsidRPr="00D81472">
        <w:rPr>
          <w:rFonts w:ascii="Baskerville" w:hAnsi="Baskerville" w:cs="Times New Roman"/>
        </w:rPr>
        <w:t xml:space="preserve"> </w:t>
      </w:r>
    </w:p>
    <w:p w14:paraId="6001A946" w14:textId="77777777" w:rsidR="003C2D01" w:rsidRPr="00D81472" w:rsidRDefault="003C2D01" w:rsidP="00D81472">
      <w:pPr>
        <w:spacing w:line="276" w:lineRule="auto"/>
        <w:jc w:val="both"/>
        <w:rPr>
          <w:rFonts w:ascii="Baskerville" w:hAnsi="Baskerville" w:cs="Times New Roman"/>
        </w:rPr>
      </w:pPr>
    </w:p>
    <w:p w14:paraId="3A2C0611" w14:textId="433CD585" w:rsidR="000A4737" w:rsidRPr="00D81472" w:rsidRDefault="00E90107" w:rsidP="00D81472">
      <w:pPr>
        <w:spacing w:line="276" w:lineRule="auto"/>
        <w:jc w:val="both"/>
        <w:rPr>
          <w:rFonts w:ascii="Baskerville" w:hAnsi="Baskerville" w:cs="Times New Roman"/>
        </w:rPr>
      </w:pPr>
      <w:r w:rsidRPr="00D81472">
        <w:rPr>
          <w:rFonts w:ascii="Baskerville" w:hAnsi="Baskerville" w:cs="Times New Roman"/>
        </w:rPr>
        <w:t xml:space="preserve">La discusión anterior es fructífera si nos encontráramos </w:t>
      </w:r>
      <w:r w:rsidR="000A4737" w:rsidRPr="00D81472">
        <w:rPr>
          <w:rFonts w:ascii="Baskerville" w:hAnsi="Baskerville" w:cs="Times New Roman"/>
        </w:rPr>
        <w:t>en la tramitación</w:t>
      </w:r>
      <w:r w:rsidRPr="00D81472">
        <w:rPr>
          <w:rFonts w:ascii="Baskerville" w:hAnsi="Baskerville" w:cs="Times New Roman"/>
        </w:rPr>
        <w:t xml:space="preserve"> </w:t>
      </w:r>
      <w:r w:rsidR="000A4737" w:rsidRPr="00D81472">
        <w:rPr>
          <w:rFonts w:ascii="Baskerville" w:hAnsi="Baskerville" w:cs="Times New Roman"/>
        </w:rPr>
        <w:t>d</w:t>
      </w:r>
      <w:r w:rsidRPr="00D81472">
        <w:rPr>
          <w:rFonts w:ascii="Baskerville" w:hAnsi="Baskerville" w:cs="Times New Roman"/>
        </w:rPr>
        <w:t>el proyecto de ley que  dio origen a la creación del TDLC. Analizar</w:t>
      </w:r>
      <w:r w:rsidR="000A4737" w:rsidRPr="00D81472">
        <w:rPr>
          <w:rFonts w:ascii="Baskerville" w:hAnsi="Baskerville" w:cs="Times New Roman"/>
        </w:rPr>
        <w:t xml:space="preserve"> sus particularidades exceden lo</w:t>
      </w:r>
      <w:r w:rsidRPr="00D81472">
        <w:rPr>
          <w:rFonts w:ascii="Baskerville" w:hAnsi="Baskerville" w:cs="Times New Roman"/>
        </w:rPr>
        <w:t xml:space="preserve">s límites impuestos a este </w:t>
      </w:r>
      <w:r w:rsidR="00E464C5">
        <w:rPr>
          <w:rFonts w:ascii="Baskerville" w:hAnsi="Baskerville" w:cs="Times New Roman"/>
        </w:rPr>
        <w:t>proyecto de ley</w:t>
      </w:r>
      <w:r w:rsidRPr="00D81472">
        <w:rPr>
          <w:rFonts w:ascii="Baskerville" w:hAnsi="Baskerville" w:cs="Times New Roman"/>
        </w:rPr>
        <w:t>, los cuales no tiene como objetivo revisar</w:t>
      </w:r>
      <w:r w:rsidR="000A4737" w:rsidRPr="00D81472">
        <w:rPr>
          <w:rFonts w:ascii="Baskerville" w:hAnsi="Baskerville" w:cs="Times New Roman"/>
        </w:rPr>
        <w:t>, en particular,</w:t>
      </w:r>
      <w:r w:rsidR="002275B4" w:rsidRPr="00D81472">
        <w:rPr>
          <w:rFonts w:ascii="Baskerville" w:hAnsi="Baskerville" w:cs="Times New Roman"/>
        </w:rPr>
        <w:t xml:space="preserve"> las facultades</w:t>
      </w:r>
      <w:r w:rsidRPr="00D81472">
        <w:rPr>
          <w:rFonts w:ascii="Baskerville" w:hAnsi="Baskerville" w:cs="Times New Roman"/>
        </w:rPr>
        <w:t xml:space="preserve"> otorgadas a este tribunal. Sin perjuicio, claro, de menciona</w:t>
      </w:r>
      <w:r w:rsidR="002275B4" w:rsidRPr="00D81472">
        <w:rPr>
          <w:rFonts w:ascii="Baskerville" w:hAnsi="Baskerville" w:cs="Times New Roman"/>
        </w:rPr>
        <w:t>rlas de acuerdo al art. 18 del D</w:t>
      </w:r>
      <w:r w:rsidRPr="00D81472">
        <w:rPr>
          <w:rFonts w:ascii="Baskerville" w:hAnsi="Baskerville" w:cs="Times New Roman"/>
        </w:rPr>
        <w:t xml:space="preserve">L 211. Siendo las siguientes: </w:t>
      </w:r>
    </w:p>
    <w:p w14:paraId="2E7B1024" w14:textId="77777777" w:rsidR="000A4737" w:rsidRPr="00D81472" w:rsidRDefault="000A4737" w:rsidP="00D81472">
      <w:pPr>
        <w:spacing w:line="276" w:lineRule="auto"/>
        <w:jc w:val="both"/>
        <w:rPr>
          <w:rFonts w:ascii="Baskerville" w:hAnsi="Baskerville" w:cs="Times New Roman"/>
        </w:rPr>
      </w:pPr>
    </w:p>
    <w:p w14:paraId="5DB746EB" w14:textId="77777777" w:rsidR="000A4737" w:rsidRPr="00D81472" w:rsidRDefault="00E90107" w:rsidP="00D81472">
      <w:pPr>
        <w:spacing w:line="276" w:lineRule="auto"/>
        <w:jc w:val="both"/>
        <w:rPr>
          <w:rFonts w:ascii="Baskerville" w:hAnsi="Baskerville" w:cs="Times New Roman"/>
        </w:rPr>
      </w:pPr>
      <w:r w:rsidRPr="00D81472">
        <w:rPr>
          <w:rFonts w:ascii="Baskerville" w:hAnsi="Baskerville" w:cs="Times New Roman"/>
        </w:rPr>
        <w:t xml:space="preserve">a) </w:t>
      </w:r>
      <w:r w:rsidRPr="00D81472">
        <w:rPr>
          <w:rFonts w:ascii="Baskerville" w:hAnsi="Baskerville" w:cs="Times New Roman"/>
          <w:u w:val="single"/>
        </w:rPr>
        <w:t>Jurisdiccionales</w:t>
      </w:r>
      <w:r w:rsidRPr="00D81472">
        <w:rPr>
          <w:rFonts w:ascii="Baskerville" w:hAnsi="Baskerville" w:cs="Times New Roman"/>
        </w:rPr>
        <w:t>, radica</w:t>
      </w:r>
      <w:r w:rsidR="000A4737" w:rsidRPr="00D81472">
        <w:rPr>
          <w:rFonts w:ascii="Baskerville" w:hAnsi="Baskerville" w:cs="Times New Roman"/>
        </w:rPr>
        <w:t>da</w:t>
      </w:r>
      <w:r w:rsidRPr="00D81472">
        <w:rPr>
          <w:rFonts w:ascii="Baskerville" w:hAnsi="Baskerville" w:cs="Times New Roman"/>
        </w:rPr>
        <w:t xml:space="preserve"> en el número 1, </w:t>
      </w:r>
      <w:r w:rsidR="000A4737" w:rsidRPr="00D81472">
        <w:rPr>
          <w:rFonts w:ascii="Baskerville" w:hAnsi="Baskerville" w:cs="Times New Roman"/>
        </w:rPr>
        <w:t>como la facultad de conocer, a solicitud de parte o del Fiscal Nacional Económico, las situaciones que pudieren constituir infracciones a la presente ley y;</w:t>
      </w:r>
    </w:p>
    <w:p w14:paraId="42270327" w14:textId="77777777" w:rsidR="000A4737" w:rsidRPr="00D81472" w:rsidRDefault="000A4737" w:rsidP="00D81472">
      <w:pPr>
        <w:spacing w:line="276" w:lineRule="auto"/>
        <w:jc w:val="both"/>
        <w:rPr>
          <w:rFonts w:ascii="Baskerville" w:hAnsi="Baskerville" w:cs="Times New Roman"/>
        </w:rPr>
      </w:pPr>
    </w:p>
    <w:p w14:paraId="1D09E3AB" w14:textId="09A5ABA7" w:rsidR="003C2D01" w:rsidRPr="00D81472" w:rsidRDefault="000A4737" w:rsidP="00D81472">
      <w:pPr>
        <w:spacing w:line="276" w:lineRule="auto"/>
        <w:jc w:val="both"/>
        <w:rPr>
          <w:rFonts w:ascii="Baskerville" w:hAnsi="Baskerville"/>
        </w:rPr>
      </w:pPr>
      <w:r w:rsidRPr="00D81472">
        <w:rPr>
          <w:rFonts w:ascii="Baskerville" w:hAnsi="Baskerville" w:cs="Times New Roman"/>
        </w:rPr>
        <w:t xml:space="preserve">b) </w:t>
      </w:r>
      <w:r w:rsidRPr="00D81472">
        <w:rPr>
          <w:rFonts w:ascii="Baskerville" w:hAnsi="Baskerville" w:cs="Times New Roman"/>
          <w:u w:val="single"/>
        </w:rPr>
        <w:t>Extra</w:t>
      </w:r>
      <w:r w:rsidR="00753B53" w:rsidRPr="00D81472">
        <w:rPr>
          <w:rFonts w:ascii="Baskerville" w:hAnsi="Baskerville" w:cs="Times New Roman"/>
          <w:u w:val="single"/>
        </w:rPr>
        <w:t xml:space="preserve"> </w:t>
      </w:r>
      <w:r w:rsidRPr="00D81472">
        <w:rPr>
          <w:rFonts w:ascii="Baskerville" w:hAnsi="Baskerville" w:cs="Times New Roman"/>
          <w:u w:val="single"/>
        </w:rPr>
        <w:t>jurisdiccionales</w:t>
      </w:r>
      <w:r w:rsidRPr="00D81472">
        <w:rPr>
          <w:rFonts w:ascii="Baskerville" w:hAnsi="Baskerville" w:cs="Times New Roman"/>
        </w:rPr>
        <w:t>, dentro</w:t>
      </w:r>
      <w:r w:rsidR="00AA4A73" w:rsidRPr="00D81472">
        <w:rPr>
          <w:rFonts w:ascii="Baskerville" w:hAnsi="Baskerville" w:cs="Times New Roman"/>
        </w:rPr>
        <w:t xml:space="preserve"> de las cuales se encuentra la</w:t>
      </w:r>
      <w:r w:rsidRPr="00D81472">
        <w:rPr>
          <w:rFonts w:ascii="Baskerville" w:hAnsi="Baskerville" w:cs="Times New Roman"/>
        </w:rPr>
        <w:t xml:space="preserve"> i) </w:t>
      </w:r>
      <w:r w:rsidR="00AA4A73" w:rsidRPr="00D81472">
        <w:rPr>
          <w:rFonts w:ascii="Baskerville" w:hAnsi="Baskerville" w:cs="Times New Roman"/>
        </w:rPr>
        <w:t xml:space="preserve">Potestad </w:t>
      </w:r>
      <w:r w:rsidR="00AA4A73" w:rsidRPr="00D81472">
        <w:rPr>
          <w:rFonts w:ascii="Baskerville" w:hAnsi="Baskerville" w:cs="Times New Roman"/>
          <w:i/>
        </w:rPr>
        <w:t>Consultiva</w:t>
      </w:r>
      <w:r w:rsidRPr="00D81472">
        <w:rPr>
          <w:rFonts w:ascii="Baskerville" w:hAnsi="Baskerville" w:cs="Times New Roman"/>
          <w:i/>
        </w:rPr>
        <w:t xml:space="preserve"> </w:t>
      </w:r>
      <w:r w:rsidRPr="00D81472">
        <w:rPr>
          <w:rFonts w:ascii="Baskerville" w:hAnsi="Baskerville" w:cs="Times New Roman"/>
        </w:rPr>
        <w:t>del número 2 del artículo 18, y que “tiene una función preventiva ordenada a evitar o minimizar la posibilidad de que, hechos, actos o convenciones determinados, proyectados, ejecutados o celebrados, puedan llegar a lesionar o poner en riesgo la libre competencia o continuar causando daño o poniendo en peligro dicho bien jurídico”</w:t>
      </w:r>
      <w:r w:rsidRPr="00D81472">
        <w:rPr>
          <w:rStyle w:val="Refdenotaalpie"/>
          <w:rFonts w:ascii="Baskerville" w:hAnsi="Baskerville" w:cs="Times New Roman"/>
        </w:rPr>
        <w:footnoteReference w:id="5"/>
      </w:r>
      <w:r w:rsidRPr="00D81472">
        <w:rPr>
          <w:rFonts w:ascii="Baskerville" w:hAnsi="Baskerville" w:cs="Times New Roman"/>
        </w:rPr>
        <w:t xml:space="preserve">, ii) </w:t>
      </w:r>
      <w:r w:rsidR="00AA4A73" w:rsidRPr="00D81472">
        <w:rPr>
          <w:rFonts w:ascii="Baskerville" w:hAnsi="Baskerville" w:cs="Times New Roman"/>
        </w:rPr>
        <w:t xml:space="preserve">Potestad </w:t>
      </w:r>
      <w:r w:rsidR="00AA4A73" w:rsidRPr="00D81472">
        <w:rPr>
          <w:rFonts w:ascii="Baskerville" w:hAnsi="Baskerville" w:cs="Times New Roman"/>
          <w:i/>
        </w:rPr>
        <w:t>Normativa externa e interna</w:t>
      </w:r>
      <w:r w:rsidR="00AA4A73" w:rsidRPr="00D81472">
        <w:rPr>
          <w:rFonts w:ascii="Baskerville" w:hAnsi="Baskerville" w:cs="Times New Roman"/>
        </w:rPr>
        <w:t>, en donde la primera tiene relación con la facultad de dictar Instrucciones de Carácter General y la segunda con una autorregulación del propio</w:t>
      </w:r>
      <w:r w:rsidR="002275B4" w:rsidRPr="00D81472">
        <w:rPr>
          <w:rFonts w:ascii="Baskerville" w:hAnsi="Baskerville" w:cs="Times New Roman"/>
        </w:rPr>
        <w:t xml:space="preserve"> tribunal</w:t>
      </w:r>
      <w:r w:rsidR="00AA4A73" w:rsidRPr="00D81472">
        <w:rPr>
          <w:rFonts w:ascii="Baskerville" w:hAnsi="Baskerville" w:cs="Times New Roman"/>
        </w:rPr>
        <w:t xml:space="preserve">, iii) Potestad </w:t>
      </w:r>
      <w:r w:rsidR="00AA4A73" w:rsidRPr="00D81472">
        <w:rPr>
          <w:rFonts w:ascii="Baskerville" w:hAnsi="Baskerville" w:cs="Times New Roman"/>
          <w:i/>
        </w:rPr>
        <w:t>Propositiva</w:t>
      </w:r>
      <w:r w:rsidR="00AA4A73" w:rsidRPr="00D81472">
        <w:rPr>
          <w:rFonts w:ascii="Baskerville" w:hAnsi="Baskerville" w:cs="Times New Roman"/>
        </w:rPr>
        <w:t xml:space="preserve"> mediante la cual el TDLC </w:t>
      </w:r>
      <w:r w:rsidR="00AA4A73" w:rsidRPr="00D81472">
        <w:rPr>
          <w:rFonts w:ascii="Baskerville" w:hAnsi="Baskerville"/>
        </w:rPr>
        <w:t>“envía un despacho solicitando a una autoridad pública se sirva ajustar un determinado cuerpo normativ</w:t>
      </w:r>
      <w:r w:rsidR="002275B4" w:rsidRPr="00D81472">
        <w:rPr>
          <w:rFonts w:ascii="Baskerville" w:hAnsi="Baskerville"/>
        </w:rPr>
        <w:t>o a las exigencias del Derecho A</w:t>
      </w:r>
      <w:r w:rsidR="00AA4A73" w:rsidRPr="00D81472">
        <w:rPr>
          <w:rFonts w:ascii="Baskerville" w:hAnsi="Baskerville"/>
        </w:rPr>
        <w:t>ntimonopólico”</w:t>
      </w:r>
      <w:r w:rsidR="00AA4A73" w:rsidRPr="00D81472">
        <w:rPr>
          <w:rStyle w:val="Refdenotaalpie"/>
          <w:rFonts w:ascii="Baskerville" w:hAnsi="Baskerville"/>
        </w:rPr>
        <w:footnoteReference w:id="6"/>
      </w:r>
      <w:r w:rsidR="009954B9" w:rsidRPr="00D81472">
        <w:rPr>
          <w:rFonts w:ascii="Baskerville" w:hAnsi="Baskerville"/>
        </w:rPr>
        <w:t xml:space="preserve">, iv) Potestad </w:t>
      </w:r>
      <w:r w:rsidR="009954B9" w:rsidRPr="00D81472">
        <w:rPr>
          <w:rFonts w:ascii="Baskerville" w:hAnsi="Baskerville"/>
          <w:i/>
        </w:rPr>
        <w:t>revisora de operaciones de concentración</w:t>
      </w:r>
      <w:r w:rsidR="009954B9" w:rsidRPr="00D81472">
        <w:rPr>
          <w:rFonts w:ascii="Baskerville" w:hAnsi="Baskerville"/>
        </w:rPr>
        <w:t xml:space="preserve">, </w:t>
      </w:r>
      <w:r w:rsidR="002275B4" w:rsidRPr="00D81472">
        <w:rPr>
          <w:rFonts w:ascii="Baskerville" w:hAnsi="Baskerville"/>
        </w:rPr>
        <w:t>recientemente incorporada</w:t>
      </w:r>
      <w:r w:rsidR="009954B9" w:rsidRPr="00D81472">
        <w:rPr>
          <w:rFonts w:ascii="Baskerville" w:hAnsi="Baskerville"/>
        </w:rPr>
        <w:t>, que tiene por objetivo diseñar un nuev</w:t>
      </w:r>
      <w:r w:rsidR="002275B4" w:rsidRPr="00D81472">
        <w:rPr>
          <w:rFonts w:ascii="Baskerville" w:hAnsi="Baskerville"/>
        </w:rPr>
        <w:t xml:space="preserve">o procedimiento en el cual sea </w:t>
      </w:r>
      <w:r w:rsidR="009954B9" w:rsidRPr="00D81472">
        <w:rPr>
          <w:rFonts w:ascii="Baskerville" w:hAnsi="Baskerville"/>
        </w:rPr>
        <w:t>posible revisa ci</w:t>
      </w:r>
      <w:r w:rsidR="002275B4" w:rsidRPr="00D81472">
        <w:rPr>
          <w:rFonts w:ascii="Baskerville" w:hAnsi="Baskerville"/>
        </w:rPr>
        <w:t xml:space="preserve">ertos acuerdo de incumbentes </w:t>
      </w:r>
      <w:r w:rsidR="009954B9" w:rsidRPr="00D81472">
        <w:rPr>
          <w:rFonts w:ascii="Baskerville" w:hAnsi="Baskerville"/>
        </w:rPr>
        <w:t xml:space="preserve">que puedan afectar la competencia en determinado mercado, v) Potestad de dictar </w:t>
      </w:r>
      <w:r w:rsidR="009954B9" w:rsidRPr="00D81472">
        <w:rPr>
          <w:rFonts w:ascii="Baskerville" w:hAnsi="Baskerville"/>
          <w:i/>
        </w:rPr>
        <w:t xml:space="preserve">autoacordados </w:t>
      </w:r>
      <w:r w:rsidR="009954B9" w:rsidRPr="00D81472">
        <w:rPr>
          <w:rFonts w:ascii="Baskerville" w:hAnsi="Baskerville"/>
        </w:rPr>
        <w:t xml:space="preserve">y; vi) Potestad </w:t>
      </w:r>
      <w:r w:rsidR="009954B9" w:rsidRPr="00D81472">
        <w:rPr>
          <w:rFonts w:ascii="Baskerville" w:hAnsi="Baskerville"/>
          <w:i/>
        </w:rPr>
        <w:t>informativa</w:t>
      </w:r>
      <w:r w:rsidR="009954B9" w:rsidRPr="00D81472">
        <w:rPr>
          <w:rFonts w:ascii="Baskerville" w:hAnsi="Baskerville"/>
        </w:rPr>
        <w:t xml:space="preserve"> que tiene como finalidad recoger diversas obligaciones de emitir informes que le son encomendados por diferentes normativas sectoriales. </w:t>
      </w:r>
      <w:r w:rsidR="00753B53" w:rsidRPr="00D81472">
        <w:rPr>
          <w:rFonts w:ascii="Baskerville" w:hAnsi="Baskerville"/>
        </w:rPr>
        <w:t xml:space="preserve"> </w:t>
      </w:r>
    </w:p>
    <w:p w14:paraId="1ED493AD" w14:textId="77777777" w:rsidR="00753B53" w:rsidRPr="00D81472" w:rsidRDefault="00753B53" w:rsidP="00D81472">
      <w:pPr>
        <w:spacing w:line="276" w:lineRule="auto"/>
        <w:jc w:val="both"/>
        <w:rPr>
          <w:rFonts w:ascii="Baskerville" w:hAnsi="Baskerville"/>
        </w:rPr>
      </w:pPr>
    </w:p>
    <w:p w14:paraId="3BACA31D" w14:textId="3ACC35A3" w:rsidR="00753B53" w:rsidRPr="00D81472" w:rsidRDefault="00753B53" w:rsidP="00D81472">
      <w:pPr>
        <w:spacing w:line="276" w:lineRule="auto"/>
        <w:jc w:val="both"/>
        <w:rPr>
          <w:rFonts w:ascii="Baskerville" w:hAnsi="Baskerville"/>
        </w:rPr>
      </w:pPr>
      <w:r w:rsidRPr="00D81472">
        <w:rPr>
          <w:rFonts w:ascii="Baskerville" w:hAnsi="Baskerville"/>
        </w:rPr>
        <w:lastRenderedPageBreak/>
        <w:t>Como vemos, existe un marcado acento en las facultades extra jurisdiccionales y que en el fondo del asunto, son propiamente características de instituciones estatales encargadas de velar por el adecuado c</w:t>
      </w:r>
      <w:r w:rsidR="001D4B13" w:rsidRPr="00D81472">
        <w:rPr>
          <w:rFonts w:ascii="Baskerville" w:hAnsi="Baskerville"/>
        </w:rPr>
        <w:t>umplimiento de una política pública</w:t>
      </w:r>
      <w:r w:rsidRPr="00D81472">
        <w:rPr>
          <w:rFonts w:ascii="Baskerville" w:hAnsi="Baskerville"/>
        </w:rPr>
        <w:t xml:space="preserve"> dentro del área sectorial </w:t>
      </w:r>
      <w:r w:rsidR="00B60B9A" w:rsidRPr="00D81472">
        <w:rPr>
          <w:rFonts w:ascii="Baskerville" w:hAnsi="Baskerville"/>
        </w:rPr>
        <w:t>de su competencia.</w:t>
      </w:r>
      <w:r w:rsidRPr="00D81472">
        <w:rPr>
          <w:rFonts w:ascii="Baskerville" w:hAnsi="Baskerville"/>
        </w:rPr>
        <w:t xml:space="preserve"> </w:t>
      </w:r>
    </w:p>
    <w:p w14:paraId="6A0B1526" w14:textId="77777777" w:rsidR="00753B53" w:rsidRPr="00D81472" w:rsidRDefault="00753B53" w:rsidP="00D81472">
      <w:pPr>
        <w:spacing w:line="276" w:lineRule="auto"/>
        <w:jc w:val="both"/>
        <w:rPr>
          <w:rFonts w:ascii="Baskerville" w:hAnsi="Baskerville"/>
        </w:rPr>
      </w:pPr>
    </w:p>
    <w:p w14:paraId="66AC2628" w14:textId="36927347" w:rsidR="00755361" w:rsidRPr="00D81472" w:rsidRDefault="00B60B9A" w:rsidP="00D81472">
      <w:pPr>
        <w:spacing w:line="276" w:lineRule="auto"/>
        <w:jc w:val="both"/>
        <w:rPr>
          <w:rFonts w:ascii="Baskerville" w:hAnsi="Baskerville"/>
        </w:rPr>
      </w:pPr>
      <w:r w:rsidRPr="00D81472">
        <w:rPr>
          <w:rFonts w:ascii="Baskerville" w:hAnsi="Baskerville"/>
        </w:rPr>
        <w:t>Como vemos, e</w:t>
      </w:r>
      <w:r w:rsidR="00753B53" w:rsidRPr="00D81472">
        <w:rPr>
          <w:rFonts w:ascii="Baskerville" w:hAnsi="Baskerville"/>
        </w:rPr>
        <w:t>ste tribuna</w:t>
      </w:r>
      <w:r w:rsidR="001D4B13" w:rsidRPr="00D81472">
        <w:rPr>
          <w:rFonts w:ascii="Baskerville" w:hAnsi="Baskerville"/>
        </w:rPr>
        <w:t>l</w:t>
      </w:r>
      <w:r w:rsidR="00753B53" w:rsidRPr="00D81472">
        <w:rPr>
          <w:rFonts w:ascii="Baskerville" w:hAnsi="Baskerville"/>
        </w:rPr>
        <w:t xml:space="preserve"> tiene </w:t>
      </w:r>
      <w:r w:rsidRPr="00D81472">
        <w:rPr>
          <w:rFonts w:ascii="Baskerville" w:hAnsi="Baskerville"/>
        </w:rPr>
        <w:t xml:space="preserve">una característica crucial </w:t>
      </w:r>
      <w:r w:rsidR="00E464C5">
        <w:rPr>
          <w:rFonts w:ascii="Baskerville" w:hAnsi="Baskerville"/>
        </w:rPr>
        <w:t>para el presente proyecto de ley</w:t>
      </w:r>
      <w:r w:rsidRPr="00D81472">
        <w:rPr>
          <w:rFonts w:ascii="Baskerville" w:hAnsi="Baskerville"/>
        </w:rPr>
        <w:t>, las cual</w:t>
      </w:r>
      <w:r w:rsidR="00753B53" w:rsidRPr="00D81472">
        <w:rPr>
          <w:rFonts w:ascii="Baskerville" w:hAnsi="Baskerville"/>
        </w:rPr>
        <w:t xml:space="preserve"> es que tiene dentro de la esfera de sus potestades</w:t>
      </w:r>
      <w:r w:rsidR="008D020B" w:rsidRPr="00D81472">
        <w:rPr>
          <w:rFonts w:ascii="Baskerville" w:hAnsi="Baskerville"/>
        </w:rPr>
        <w:t xml:space="preserve"> contiene</w:t>
      </w:r>
      <w:r w:rsidR="00753B53" w:rsidRPr="00D81472">
        <w:rPr>
          <w:rFonts w:ascii="Baskerville" w:hAnsi="Baskerville"/>
        </w:rPr>
        <w:t xml:space="preserve"> un a</w:t>
      </w:r>
      <w:r w:rsidR="00BC7BAD" w:rsidRPr="00D81472">
        <w:rPr>
          <w:rFonts w:ascii="Baskerville" w:hAnsi="Baskerville"/>
        </w:rPr>
        <w:t>mplio catálogo de funciones que tiene</w:t>
      </w:r>
      <w:r w:rsidR="001D4B13" w:rsidRPr="00D81472">
        <w:rPr>
          <w:rFonts w:ascii="Baskerville" w:hAnsi="Baskerville"/>
        </w:rPr>
        <w:t>n</w:t>
      </w:r>
      <w:r w:rsidR="00BC7BAD" w:rsidRPr="00D81472">
        <w:rPr>
          <w:rFonts w:ascii="Baskerville" w:hAnsi="Baskerville"/>
        </w:rPr>
        <w:t xml:space="preserve"> como objetivo ir mas allá de la solución de un conflicto entre particulares, si </w:t>
      </w:r>
      <w:r w:rsidR="001D4B13" w:rsidRPr="00D81472">
        <w:rPr>
          <w:rFonts w:ascii="Baskerville" w:hAnsi="Baskerville"/>
        </w:rPr>
        <w:t>no que</w:t>
      </w:r>
      <w:r w:rsidR="008D020B" w:rsidRPr="00D81472">
        <w:rPr>
          <w:rFonts w:ascii="Baskerville" w:hAnsi="Baskerville"/>
        </w:rPr>
        <w:t>, muy por el contrario</w:t>
      </w:r>
      <w:r w:rsidR="00BC7BAD" w:rsidRPr="00D81472">
        <w:rPr>
          <w:rFonts w:ascii="Baskerville" w:hAnsi="Baskerville"/>
        </w:rPr>
        <w:t xml:space="preserve">, </w:t>
      </w:r>
      <w:r w:rsidRPr="00D81472">
        <w:rPr>
          <w:rFonts w:ascii="Baskerville" w:hAnsi="Baskerville"/>
        </w:rPr>
        <w:t>en muchas ocasiones</w:t>
      </w:r>
      <w:r w:rsidR="001D4B13" w:rsidRPr="00D81472">
        <w:rPr>
          <w:rFonts w:ascii="Baskerville" w:hAnsi="Baskerville"/>
        </w:rPr>
        <w:t>, tiene el deber</w:t>
      </w:r>
      <w:r w:rsidR="00BC7BAD" w:rsidRPr="00D81472">
        <w:rPr>
          <w:rFonts w:ascii="Baskerville" w:hAnsi="Baskerville"/>
        </w:rPr>
        <w:t xml:space="preserve"> de emitir resoluciones generales que son capaces de afectar a un número importante de individuos e industrias dentro del territorio nacional. </w:t>
      </w:r>
    </w:p>
    <w:p w14:paraId="5034EE67" w14:textId="77777777" w:rsidR="00755361" w:rsidRPr="00D81472" w:rsidRDefault="00755361" w:rsidP="00D81472">
      <w:pPr>
        <w:spacing w:line="276" w:lineRule="auto"/>
        <w:jc w:val="both"/>
        <w:rPr>
          <w:rFonts w:ascii="Baskerville" w:hAnsi="Baskerville"/>
        </w:rPr>
      </w:pPr>
    </w:p>
    <w:p w14:paraId="06DCA67E" w14:textId="6F5D5609" w:rsidR="00753B53" w:rsidRPr="00D81472" w:rsidRDefault="00BC7BAD" w:rsidP="00D81472">
      <w:pPr>
        <w:spacing w:line="276" w:lineRule="auto"/>
        <w:jc w:val="both"/>
        <w:rPr>
          <w:rFonts w:ascii="Baskerville" w:hAnsi="Baskerville"/>
        </w:rPr>
      </w:pPr>
      <w:r w:rsidRPr="00D81472">
        <w:rPr>
          <w:rFonts w:ascii="Baskerville" w:hAnsi="Baskerville"/>
        </w:rPr>
        <w:t>Esto último tiene una notable relación con las características propias de las instituciones del aparato administrativo</w:t>
      </w:r>
      <w:r w:rsidR="00B60B9A" w:rsidRPr="00D81472">
        <w:rPr>
          <w:rFonts w:ascii="Baskerville" w:hAnsi="Baskerville"/>
        </w:rPr>
        <w:t>, que están</w:t>
      </w:r>
      <w:r w:rsidRPr="00D81472">
        <w:rPr>
          <w:rFonts w:ascii="Baskerville" w:hAnsi="Baskerville"/>
        </w:rPr>
        <w:t xml:space="preserve"> destinadas a regular diferentes áreas sectoriales, como por ejemplo</w:t>
      </w:r>
      <w:r w:rsidR="00B60B9A" w:rsidRPr="00D81472">
        <w:rPr>
          <w:rFonts w:ascii="Baskerville" w:hAnsi="Baskerville"/>
        </w:rPr>
        <w:t xml:space="preserve"> las</w:t>
      </w:r>
      <w:r w:rsidRPr="00D81472">
        <w:rPr>
          <w:rFonts w:ascii="Baskerville" w:hAnsi="Baskerville"/>
        </w:rPr>
        <w:t xml:space="preserve"> Superintendencias y Ministerios.</w:t>
      </w:r>
    </w:p>
    <w:p w14:paraId="32691CC9" w14:textId="77777777" w:rsidR="00BC7BAD" w:rsidRPr="00D81472" w:rsidRDefault="00BC7BAD" w:rsidP="00D81472">
      <w:pPr>
        <w:spacing w:line="276" w:lineRule="auto"/>
        <w:jc w:val="both"/>
        <w:rPr>
          <w:rFonts w:ascii="Baskerville" w:hAnsi="Baskerville"/>
        </w:rPr>
      </w:pPr>
    </w:p>
    <w:p w14:paraId="40D1D819" w14:textId="37C52628" w:rsidR="00BC7BAD" w:rsidRPr="00D81472" w:rsidRDefault="00BC7BAD" w:rsidP="00D81472">
      <w:pPr>
        <w:spacing w:line="276" w:lineRule="auto"/>
        <w:jc w:val="both"/>
        <w:rPr>
          <w:rFonts w:ascii="Baskerville" w:hAnsi="Baskerville"/>
        </w:rPr>
      </w:pPr>
      <w:r w:rsidRPr="00D81472">
        <w:rPr>
          <w:rFonts w:ascii="Baskerville" w:hAnsi="Baskerville"/>
        </w:rPr>
        <w:t xml:space="preserve">De esta manera podemos concluir, que en la práctica, son </w:t>
      </w:r>
      <w:r w:rsidR="00755361" w:rsidRPr="00D81472">
        <w:rPr>
          <w:rFonts w:ascii="Baskerville" w:hAnsi="Baskerville"/>
        </w:rPr>
        <w:t xml:space="preserve">precisamente </w:t>
      </w:r>
      <w:r w:rsidRPr="00D81472">
        <w:rPr>
          <w:rFonts w:ascii="Baskerville" w:hAnsi="Baskerville"/>
        </w:rPr>
        <w:t xml:space="preserve">estos </w:t>
      </w:r>
      <w:r w:rsidRPr="00D81472">
        <w:rPr>
          <w:rFonts w:ascii="Baskerville" w:hAnsi="Baskerville"/>
          <w:i/>
        </w:rPr>
        <w:t>jueces</w:t>
      </w:r>
      <w:r w:rsidRPr="00D81472">
        <w:rPr>
          <w:rFonts w:ascii="Baskerville" w:hAnsi="Baskerville"/>
        </w:rPr>
        <w:t xml:space="preserve"> de este </w:t>
      </w:r>
      <w:r w:rsidRPr="00D81472">
        <w:rPr>
          <w:rFonts w:ascii="Baskerville" w:hAnsi="Baskerville"/>
          <w:i/>
        </w:rPr>
        <w:t>tribunal</w:t>
      </w:r>
      <w:r w:rsidRPr="00D81472">
        <w:rPr>
          <w:rFonts w:ascii="Baskerville" w:hAnsi="Baskerville"/>
        </w:rPr>
        <w:t xml:space="preserve"> los encargados de impl</w:t>
      </w:r>
      <w:r w:rsidR="00755361" w:rsidRPr="00D81472">
        <w:rPr>
          <w:rFonts w:ascii="Baskerville" w:hAnsi="Baskerville"/>
        </w:rPr>
        <w:t>eme</w:t>
      </w:r>
      <w:r w:rsidRPr="00D81472">
        <w:rPr>
          <w:rFonts w:ascii="Baskerville" w:hAnsi="Baskerville"/>
        </w:rPr>
        <w:t>ntar las políticas publicas relacionadas con la libre competencia. Ahora bien, ¿</w:t>
      </w:r>
      <w:r w:rsidR="00755361" w:rsidRPr="00D81472">
        <w:rPr>
          <w:rFonts w:ascii="Baskerville" w:hAnsi="Baskerville"/>
        </w:rPr>
        <w:t>El sistema recursivo de Libre Competencia nacional</w:t>
      </w:r>
      <w:r w:rsidR="00B60B9A" w:rsidRPr="00D81472">
        <w:rPr>
          <w:rFonts w:ascii="Baskerville" w:hAnsi="Baskerville"/>
        </w:rPr>
        <w:t xml:space="preserve"> es capaz de reflejar estas dos potestades mencionada</w:t>
      </w:r>
      <w:r w:rsidRPr="00D81472">
        <w:rPr>
          <w:rFonts w:ascii="Baskerville" w:hAnsi="Baskerville"/>
        </w:rPr>
        <w:t xml:space="preserve">s? </w:t>
      </w:r>
    </w:p>
    <w:p w14:paraId="5D10E14A" w14:textId="77777777" w:rsidR="00BC7BAD" w:rsidRPr="00D81472" w:rsidRDefault="00BC7BAD" w:rsidP="00D81472">
      <w:pPr>
        <w:spacing w:line="276" w:lineRule="auto"/>
        <w:jc w:val="both"/>
        <w:rPr>
          <w:rFonts w:ascii="Baskerville" w:hAnsi="Baskerville"/>
        </w:rPr>
      </w:pPr>
    </w:p>
    <w:p w14:paraId="6C0D524C" w14:textId="5864ED46" w:rsidR="00755361" w:rsidRPr="00D81472" w:rsidRDefault="00755361" w:rsidP="00D81472">
      <w:pPr>
        <w:spacing w:line="276" w:lineRule="auto"/>
        <w:jc w:val="both"/>
        <w:rPr>
          <w:rFonts w:ascii="Baskerville" w:hAnsi="Baskerville"/>
        </w:rPr>
      </w:pPr>
      <w:r w:rsidRPr="00D81472">
        <w:rPr>
          <w:rFonts w:ascii="Baskerville" w:hAnsi="Baskerville"/>
        </w:rPr>
        <w:t>Intuimos que no.</w:t>
      </w:r>
      <w:r w:rsidR="00BC7BAD" w:rsidRPr="00D81472">
        <w:rPr>
          <w:rFonts w:ascii="Baskerville" w:hAnsi="Baskerville"/>
        </w:rPr>
        <w:t xml:space="preserve"> </w:t>
      </w:r>
      <w:r w:rsidRPr="00D81472">
        <w:rPr>
          <w:rFonts w:ascii="Baskerville" w:hAnsi="Baskerville"/>
        </w:rPr>
        <w:t>Hay que reparar en algo importante, s</w:t>
      </w:r>
      <w:r w:rsidR="00BC7BAD" w:rsidRPr="00D81472">
        <w:rPr>
          <w:rFonts w:ascii="Baskerville" w:hAnsi="Baskerville"/>
        </w:rPr>
        <w:t xml:space="preserve">i lo analizamos desde el punto de vista sectorial, </w:t>
      </w:r>
      <w:r w:rsidRPr="00D81472">
        <w:rPr>
          <w:rFonts w:ascii="Baskerville" w:hAnsi="Baskerville"/>
        </w:rPr>
        <w:t>es este tribunal</w:t>
      </w:r>
      <w:r w:rsidR="00BC7BAD" w:rsidRPr="00D81472">
        <w:rPr>
          <w:rFonts w:ascii="Baskerville" w:hAnsi="Baskerville"/>
        </w:rPr>
        <w:t xml:space="preserve"> qu</w:t>
      </w:r>
      <w:r w:rsidRPr="00D81472">
        <w:rPr>
          <w:rFonts w:ascii="Baskerville" w:hAnsi="Baskerville"/>
        </w:rPr>
        <w:t>i</w:t>
      </w:r>
      <w:r w:rsidR="00BC7BAD" w:rsidRPr="00D81472">
        <w:rPr>
          <w:rFonts w:ascii="Baskerville" w:hAnsi="Baskerville"/>
        </w:rPr>
        <w:t>e</w:t>
      </w:r>
      <w:r w:rsidRPr="00D81472">
        <w:rPr>
          <w:rFonts w:ascii="Baskerville" w:hAnsi="Baskerville"/>
        </w:rPr>
        <w:t>n</w:t>
      </w:r>
      <w:r w:rsidR="00BC7BAD" w:rsidRPr="00D81472">
        <w:rPr>
          <w:rFonts w:ascii="Baskerville" w:hAnsi="Baskerville"/>
        </w:rPr>
        <w:t xml:space="preserve"> </w:t>
      </w:r>
      <w:r w:rsidRPr="00D81472">
        <w:rPr>
          <w:rFonts w:ascii="Baskerville" w:hAnsi="Baskerville"/>
        </w:rPr>
        <w:t xml:space="preserve">debiera </w:t>
      </w:r>
      <w:r w:rsidR="00BC7BAD" w:rsidRPr="00D81472">
        <w:rPr>
          <w:rFonts w:ascii="Baskerville" w:hAnsi="Baskerville"/>
        </w:rPr>
        <w:t>implementa</w:t>
      </w:r>
      <w:r w:rsidRPr="00D81472">
        <w:rPr>
          <w:rFonts w:ascii="Baskerville" w:hAnsi="Baskerville"/>
        </w:rPr>
        <w:t>r las</w:t>
      </w:r>
      <w:r w:rsidR="00BC7BAD" w:rsidRPr="00D81472">
        <w:rPr>
          <w:rFonts w:ascii="Baskerville" w:hAnsi="Baskerville"/>
        </w:rPr>
        <w:t xml:space="preserve"> políticas públicas </w:t>
      </w:r>
      <w:r w:rsidRPr="00D81472">
        <w:rPr>
          <w:rFonts w:ascii="Baskerville" w:hAnsi="Baskerville"/>
        </w:rPr>
        <w:t xml:space="preserve">con sus </w:t>
      </w:r>
      <w:r w:rsidR="00B60B9A" w:rsidRPr="00D81472">
        <w:rPr>
          <w:rFonts w:ascii="Baskerville" w:hAnsi="Baskerville"/>
        </w:rPr>
        <w:t>correspondientes</w:t>
      </w:r>
      <w:r w:rsidR="00BC7BAD" w:rsidRPr="00D81472">
        <w:rPr>
          <w:rFonts w:ascii="Baskerville" w:hAnsi="Baskerville"/>
        </w:rPr>
        <w:t xml:space="preserve"> facultades administrativas</w:t>
      </w:r>
      <w:r w:rsidRPr="00D81472">
        <w:rPr>
          <w:rFonts w:ascii="Baskerville" w:hAnsi="Baskerville"/>
        </w:rPr>
        <w:t xml:space="preserve"> que detenta. </w:t>
      </w:r>
      <w:r w:rsidRPr="00D81472">
        <w:rPr>
          <w:rFonts w:ascii="Baskerville" w:hAnsi="Baskerville"/>
          <w:i/>
        </w:rPr>
        <w:t xml:space="preserve">Sin embargo, el </w:t>
      </w:r>
      <w:r w:rsidR="00B60B9A" w:rsidRPr="00D81472">
        <w:rPr>
          <w:rFonts w:ascii="Baskerville" w:hAnsi="Baskerville"/>
          <w:i/>
        </w:rPr>
        <w:t>TDLC implementa su política de Libre C</w:t>
      </w:r>
      <w:r w:rsidRPr="00D81472">
        <w:rPr>
          <w:rFonts w:ascii="Baskerville" w:hAnsi="Baskerville"/>
          <w:i/>
        </w:rPr>
        <w:t xml:space="preserve">ompetencia a través </w:t>
      </w:r>
      <w:r w:rsidR="00BC7BAD" w:rsidRPr="00D81472">
        <w:rPr>
          <w:rFonts w:ascii="Baskerville" w:hAnsi="Baskerville"/>
          <w:i/>
        </w:rPr>
        <w:t xml:space="preserve">de sentencias jurisdiccionales, las cuales, a su vez tienen un imperfecto sistema de </w:t>
      </w:r>
      <w:r w:rsidRPr="00D81472">
        <w:rPr>
          <w:rFonts w:ascii="Baskerville" w:hAnsi="Baskerville"/>
          <w:i/>
        </w:rPr>
        <w:t>impugnación de sentencias definitivas.</w:t>
      </w:r>
      <w:r w:rsidRPr="00D81472">
        <w:rPr>
          <w:rFonts w:ascii="Baskerville" w:hAnsi="Baskerville"/>
        </w:rPr>
        <w:t xml:space="preserve"> </w:t>
      </w:r>
    </w:p>
    <w:p w14:paraId="6B5F94D7" w14:textId="77777777" w:rsidR="00755361" w:rsidRPr="00D81472" w:rsidRDefault="00755361" w:rsidP="00D81472">
      <w:pPr>
        <w:spacing w:line="276" w:lineRule="auto"/>
        <w:jc w:val="both"/>
        <w:rPr>
          <w:rFonts w:ascii="Baskerville" w:hAnsi="Baskerville"/>
        </w:rPr>
      </w:pPr>
    </w:p>
    <w:p w14:paraId="4C0CFEFC" w14:textId="32EF8B78" w:rsidR="001D4B13" w:rsidRPr="00D81472" w:rsidRDefault="00755361" w:rsidP="00D81472">
      <w:pPr>
        <w:spacing w:line="276" w:lineRule="auto"/>
        <w:jc w:val="both"/>
        <w:rPr>
          <w:rFonts w:ascii="Baskerville" w:hAnsi="Baskerville"/>
        </w:rPr>
      </w:pPr>
      <w:r w:rsidRPr="00D81472">
        <w:rPr>
          <w:rFonts w:ascii="Baskerville" w:hAnsi="Baskerville"/>
        </w:rPr>
        <w:t>Esto tiene una consecuencia trascendental; la</w:t>
      </w:r>
      <w:r w:rsidR="00BC7BAD" w:rsidRPr="00D81472">
        <w:rPr>
          <w:rFonts w:ascii="Baskerville" w:hAnsi="Baskerville"/>
        </w:rPr>
        <w:t xml:space="preserve"> Corte</w:t>
      </w:r>
      <w:r w:rsidRPr="00D81472">
        <w:rPr>
          <w:rFonts w:ascii="Baskerville" w:hAnsi="Baskerville"/>
        </w:rPr>
        <w:t xml:space="preserve"> Suprema de justicia es la que termina decidiendo las causas mediante las cuales el TDLC ha tratado de implementar su política de libre competencia, lo cual redunda en que aquel tribunal supremo es quien en definitiva las implementa</w:t>
      </w:r>
      <w:r w:rsidR="001D4B13" w:rsidRPr="00D81472">
        <w:rPr>
          <w:rFonts w:ascii="Baskerville" w:hAnsi="Baskerville"/>
        </w:rPr>
        <w:t xml:space="preserve">. </w:t>
      </w:r>
    </w:p>
    <w:p w14:paraId="4E7DAA89" w14:textId="77777777" w:rsidR="001D4B13" w:rsidRPr="00D81472" w:rsidRDefault="001D4B13" w:rsidP="00D81472">
      <w:pPr>
        <w:spacing w:line="276" w:lineRule="auto"/>
        <w:jc w:val="both"/>
        <w:rPr>
          <w:rFonts w:ascii="Baskerville" w:hAnsi="Baskerville"/>
        </w:rPr>
      </w:pPr>
    </w:p>
    <w:p w14:paraId="0519C782" w14:textId="0FFFFE63" w:rsidR="001D4B13" w:rsidRPr="00D81472" w:rsidRDefault="001D4B13" w:rsidP="00D81472">
      <w:pPr>
        <w:spacing w:line="276" w:lineRule="auto"/>
        <w:jc w:val="both"/>
        <w:rPr>
          <w:rFonts w:ascii="Baskerville" w:hAnsi="Baskerville"/>
          <w:i/>
        </w:rPr>
      </w:pPr>
      <w:r w:rsidRPr="00D81472">
        <w:rPr>
          <w:rFonts w:ascii="Baskerville" w:hAnsi="Baskerville"/>
          <w:i/>
        </w:rPr>
        <w:t xml:space="preserve">Esta intromisión en el debate </w:t>
      </w:r>
      <w:r w:rsidR="00517B5F" w:rsidRPr="00D81472">
        <w:rPr>
          <w:rFonts w:ascii="Baskerville" w:hAnsi="Baskerville"/>
          <w:i/>
        </w:rPr>
        <w:t>de política pública</w:t>
      </w:r>
      <w:r w:rsidR="00EF0EB5" w:rsidRPr="00D81472">
        <w:rPr>
          <w:rFonts w:ascii="Baskerville" w:hAnsi="Baskerville"/>
          <w:i/>
        </w:rPr>
        <w:t xml:space="preserve"> de un tribunal no es</w:t>
      </w:r>
      <w:r w:rsidRPr="00D81472">
        <w:rPr>
          <w:rFonts w:ascii="Baskerville" w:hAnsi="Baskerville"/>
          <w:i/>
        </w:rPr>
        <w:t xml:space="preserve"> </w:t>
      </w:r>
      <w:r w:rsidR="006B08D5" w:rsidRPr="00D81472">
        <w:rPr>
          <w:rFonts w:ascii="Baskerville" w:hAnsi="Baskerville"/>
          <w:i/>
        </w:rPr>
        <w:t>aceptable</w:t>
      </w:r>
      <w:r w:rsidRPr="00D81472">
        <w:rPr>
          <w:rFonts w:ascii="Baskerville" w:hAnsi="Baskerville"/>
          <w:i/>
        </w:rPr>
        <w:t>, debido a que por la naturaleza binaria de sus decisiones, siempre ha</w:t>
      </w:r>
      <w:r w:rsidR="00517B5F" w:rsidRPr="00D81472">
        <w:rPr>
          <w:rFonts w:ascii="Baskerville" w:hAnsi="Baskerville"/>
          <w:i/>
        </w:rPr>
        <w:t>b</w:t>
      </w:r>
      <w:r w:rsidRPr="00D81472">
        <w:rPr>
          <w:rFonts w:ascii="Baskerville" w:hAnsi="Baskerville"/>
          <w:i/>
        </w:rPr>
        <w:t xml:space="preserve">rán ganadores y perdedores, poniendo en riesgo el orden completo de un sistema que debiese </w:t>
      </w:r>
      <w:r w:rsidRPr="00D81472">
        <w:rPr>
          <w:rFonts w:ascii="Baskerville" w:hAnsi="Baskerville"/>
          <w:i/>
        </w:rPr>
        <w:lastRenderedPageBreak/>
        <w:t>propender a es</w:t>
      </w:r>
      <w:r w:rsidR="00517B5F" w:rsidRPr="00D81472">
        <w:rPr>
          <w:rFonts w:ascii="Baskerville" w:hAnsi="Baskerville"/>
          <w:i/>
        </w:rPr>
        <w:t>tar mas cerca de un buen diseño, tanto técnico como social,</w:t>
      </w:r>
      <w:r w:rsidRPr="00D81472">
        <w:rPr>
          <w:rFonts w:ascii="Baskerville" w:hAnsi="Baskerville"/>
          <w:i/>
        </w:rPr>
        <w:t xml:space="preserve"> que de una decisión absoluta de un tribunal. </w:t>
      </w:r>
    </w:p>
    <w:p w14:paraId="3C1FFF3B" w14:textId="77777777" w:rsidR="001D4B13" w:rsidRPr="00D81472" w:rsidRDefault="001D4B13" w:rsidP="00D81472">
      <w:pPr>
        <w:spacing w:line="276" w:lineRule="auto"/>
        <w:jc w:val="both"/>
        <w:rPr>
          <w:rFonts w:ascii="Baskerville" w:hAnsi="Baskerville"/>
        </w:rPr>
      </w:pPr>
    </w:p>
    <w:p w14:paraId="05821AE6" w14:textId="30F430FF" w:rsidR="00BC7BAD" w:rsidRPr="00D81472" w:rsidRDefault="00E464C5" w:rsidP="00D81472">
      <w:pPr>
        <w:spacing w:line="276" w:lineRule="auto"/>
        <w:jc w:val="both"/>
        <w:rPr>
          <w:rFonts w:ascii="Baskerville" w:hAnsi="Baskerville"/>
        </w:rPr>
      </w:pPr>
      <w:r>
        <w:rPr>
          <w:rFonts w:ascii="Baskerville" w:hAnsi="Baskerville"/>
        </w:rPr>
        <w:t>Así, este proyecto de ley</w:t>
      </w:r>
      <w:r w:rsidR="001D4B13" w:rsidRPr="00D81472">
        <w:rPr>
          <w:rFonts w:ascii="Baskerville" w:hAnsi="Baskerville"/>
        </w:rPr>
        <w:t xml:space="preserve"> pretende demostrar que la impugnación de las sentencias emanadas de la potestad jurisdiccional del TDLC debe ser acotada, solo en cuanto se infrinjan derechos a las partes</w:t>
      </w:r>
      <w:r w:rsidR="00A4152B" w:rsidRPr="00D81472">
        <w:rPr>
          <w:rFonts w:ascii="Baskerville" w:hAnsi="Baskerville"/>
        </w:rPr>
        <w:t xml:space="preserve"> interesadas</w:t>
      </w:r>
      <w:r w:rsidR="001D4B13" w:rsidRPr="00D81472">
        <w:rPr>
          <w:rFonts w:ascii="Baskerville" w:hAnsi="Baskerville"/>
        </w:rPr>
        <w:t>, so pena de arriesgar que las po</w:t>
      </w:r>
      <w:r w:rsidR="00A4152B" w:rsidRPr="00D81472">
        <w:rPr>
          <w:rFonts w:ascii="Baskerville" w:hAnsi="Baskerville"/>
        </w:rPr>
        <w:t>líticas públicas de defensa de Libre C</w:t>
      </w:r>
      <w:r w:rsidR="001D4B13" w:rsidRPr="00D81472">
        <w:rPr>
          <w:rFonts w:ascii="Baskerville" w:hAnsi="Baskerville"/>
        </w:rPr>
        <w:t>ompetencia las termine decidiendo un tribunal en un sistema binario de solo ganadores</w:t>
      </w:r>
      <w:r w:rsidR="00517B5F" w:rsidRPr="00D81472">
        <w:rPr>
          <w:rFonts w:ascii="Baskerville" w:hAnsi="Baskerville"/>
        </w:rPr>
        <w:t xml:space="preserve"> y</w:t>
      </w:r>
      <w:r w:rsidR="001D4B13" w:rsidRPr="00D81472">
        <w:rPr>
          <w:rFonts w:ascii="Baskerville" w:hAnsi="Baskerville"/>
        </w:rPr>
        <w:t xml:space="preserve"> perdedores.</w:t>
      </w:r>
    </w:p>
    <w:p w14:paraId="706196BA" w14:textId="02C315A6" w:rsidR="002608EE" w:rsidRPr="00D81472" w:rsidRDefault="002608EE" w:rsidP="00D81472">
      <w:pPr>
        <w:spacing w:line="276" w:lineRule="auto"/>
        <w:jc w:val="both"/>
        <w:rPr>
          <w:rFonts w:ascii="Baskerville" w:hAnsi="Baskerville" w:cs="Times New Roman"/>
        </w:rPr>
      </w:pPr>
    </w:p>
    <w:p w14:paraId="6AE061AB" w14:textId="363A3B03" w:rsidR="0021012D" w:rsidRPr="00D81472" w:rsidRDefault="0021012D" w:rsidP="00D81472">
      <w:pPr>
        <w:spacing w:line="276" w:lineRule="auto"/>
        <w:jc w:val="both"/>
        <w:rPr>
          <w:rFonts w:ascii="Baskerville" w:hAnsi="Baskerville" w:cs="Times New Roman"/>
          <w:b/>
          <w:u w:val="single"/>
        </w:rPr>
      </w:pPr>
      <w:r w:rsidRPr="00D81472">
        <w:rPr>
          <w:rFonts w:ascii="Baskerville" w:hAnsi="Baskerville" w:cs="Times New Roman"/>
          <w:b/>
          <w:u w:val="single"/>
        </w:rPr>
        <w:t xml:space="preserve">El sistema recursivo en </w:t>
      </w:r>
      <w:r w:rsidR="0006477E" w:rsidRPr="00D81472">
        <w:rPr>
          <w:rFonts w:ascii="Baskerville" w:hAnsi="Baskerville" w:cs="Times New Roman"/>
          <w:b/>
          <w:u w:val="single"/>
        </w:rPr>
        <w:t>sentencias definitivas emanadas del TDLC</w:t>
      </w:r>
      <w:r w:rsidRPr="00D81472">
        <w:rPr>
          <w:rFonts w:ascii="Baskerville" w:hAnsi="Baskerville" w:cs="Times New Roman"/>
          <w:b/>
          <w:u w:val="single"/>
        </w:rPr>
        <w:t xml:space="preserve">. </w:t>
      </w:r>
    </w:p>
    <w:p w14:paraId="0797B941" w14:textId="77777777" w:rsidR="008E395A" w:rsidRPr="00D81472" w:rsidRDefault="008E395A" w:rsidP="00D81472">
      <w:pPr>
        <w:spacing w:line="276" w:lineRule="auto"/>
        <w:jc w:val="both"/>
        <w:rPr>
          <w:rFonts w:ascii="Baskerville" w:hAnsi="Baskerville" w:cs="Times New Roman"/>
        </w:rPr>
      </w:pPr>
    </w:p>
    <w:p w14:paraId="62AAB419" w14:textId="376AD86B" w:rsidR="008E395A" w:rsidRPr="00D81472" w:rsidRDefault="008E395A" w:rsidP="00D81472">
      <w:pPr>
        <w:spacing w:line="276" w:lineRule="auto"/>
        <w:jc w:val="both"/>
        <w:rPr>
          <w:rFonts w:ascii="Baskerville" w:hAnsi="Baskerville" w:cs="Times New Roman"/>
        </w:rPr>
      </w:pPr>
      <w:r w:rsidRPr="00D81472">
        <w:rPr>
          <w:rFonts w:ascii="Baskerville" w:hAnsi="Baskerville" w:cs="Times New Roman"/>
        </w:rPr>
        <w:t xml:space="preserve">Los medios de impugnación de resoluciones y sentencias en sede de Libre Competencia variarán de acuerdo a la naturaleza jurídica del procedimiento en el </w:t>
      </w:r>
      <w:r w:rsidR="00747566" w:rsidRPr="00D81472">
        <w:rPr>
          <w:rFonts w:ascii="Baskerville" w:hAnsi="Baskerville" w:cs="Times New Roman"/>
        </w:rPr>
        <w:t>cual se encuentran</w:t>
      </w:r>
      <w:r w:rsidRPr="00D81472">
        <w:rPr>
          <w:rFonts w:ascii="Baskerville" w:hAnsi="Baskerville" w:cs="Times New Roman"/>
        </w:rPr>
        <w:t xml:space="preserve">. Como analizábamos </w:t>
      </w:r>
      <w:r w:rsidR="00833B68" w:rsidRPr="00D81472">
        <w:rPr>
          <w:rFonts w:ascii="Baskerville" w:hAnsi="Baskerville" w:cs="Times New Roman"/>
        </w:rPr>
        <w:t>en el apartado anterior, existen</w:t>
      </w:r>
      <w:r w:rsidRPr="00D81472">
        <w:rPr>
          <w:rFonts w:ascii="Baskerville" w:hAnsi="Baskerville" w:cs="Times New Roman"/>
        </w:rPr>
        <w:t xml:space="preserve"> potestades jurisdiccionales y extra jurisdiccionales. </w:t>
      </w:r>
    </w:p>
    <w:p w14:paraId="144B2FE4" w14:textId="77777777" w:rsidR="008E395A" w:rsidRPr="00D81472" w:rsidRDefault="008E395A" w:rsidP="00D81472">
      <w:pPr>
        <w:spacing w:line="276" w:lineRule="auto"/>
        <w:jc w:val="both"/>
        <w:rPr>
          <w:rFonts w:ascii="Baskerville" w:hAnsi="Baskerville" w:cs="Times New Roman"/>
        </w:rPr>
      </w:pPr>
    </w:p>
    <w:p w14:paraId="70E2599C" w14:textId="0891C35E" w:rsidR="008E395A" w:rsidRPr="00D81472" w:rsidRDefault="008E395A" w:rsidP="00D81472">
      <w:pPr>
        <w:spacing w:line="276" w:lineRule="auto"/>
        <w:jc w:val="both"/>
        <w:rPr>
          <w:rFonts w:ascii="Baskerville" w:hAnsi="Baskerville" w:cs="Times New Roman"/>
        </w:rPr>
      </w:pPr>
      <w:r w:rsidRPr="00D81472">
        <w:rPr>
          <w:rFonts w:ascii="Baskerville" w:hAnsi="Baskerville" w:cs="Times New Roman"/>
        </w:rPr>
        <w:t xml:space="preserve">En el presente </w:t>
      </w:r>
      <w:r w:rsidR="00E464C5">
        <w:rPr>
          <w:rFonts w:ascii="Baskerville" w:hAnsi="Baskerville" w:cs="Times New Roman"/>
        </w:rPr>
        <w:t>proyecto de ley</w:t>
      </w:r>
      <w:r w:rsidRPr="00D81472">
        <w:rPr>
          <w:rFonts w:ascii="Baskerville" w:hAnsi="Baskerville" w:cs="Times New Roman"/>
        </w:rPr>
        <w:t xml:space="preserve"> analizaremos el recurso se impugnación de las sentencias definitivas en los procedimientos jurisdiccionales contenciosos</w:t>
      </w:r>
      <w:r w:rsidR="00C27FED" w:rsidRPr="00D81472">
        <w:rPr>
          <w:rFonts w:ascii="Baskerville" w:hAnsi="Baskerville" w:cs="Times New Roman"/>
        </w:rPr>
        <w:t xml:space="preserve"> </w:t>
      </w:r>
      <w:r w:rsidRPr="00D81472">
        <w:rPr>
          <w:rFonts w:ascii="Baskerville" w:hAnsi="Baskerville" w:cs="Times New Roman"/>
        </w:rPr>
        <w:t>y no nos adentraremos en analizar los medios de impugnación de las resoluciones extra-jurisdiccionales</w:t>
      </w:r>
      <w:r w:rsidR="00C27FED" w:rsidRPr="00D81472">
        <w:rPr>
          <w:rFonts w:ascii="Baskerville" w:hAnsi="Baskerville" w:cs="Times New Roman"/>
        </w:rPr>
        <w:t>,</w:t>
      </w:r>
      <w:r w:rsidRPr="00D81472">
        <w:rPr>
          <w:rFonts w:ascii="Baskerville" w:hAnsi="Baskerville" w:cs="Times New Roman"/>
        </w:rPr>
        <w:t xml:space="preserve"> debido a</w:t>
      </w:r>
      <w:r w:rsidR="00E464C5">
        <w:rPr>
          <w:rFonts w:ascii="Baskerville" w:hAnsi="Baskerville" w:cs="Times New Roman"/>
        </w:rPr>
        <w:t xml:space="preserve"> que el objetivo de este proyecto de ley</w:t>
      </w:r>
      <w:r w:rsidRPr="00D81472">
        <w:rPr>
          <w:rFonts w:ascii="Baskerville" w:hAnsi="Baskerville" w:cs="Times New Roman"/>
        </w:rPr>
        <w:t xml:space="preserve"> </w:t>
      </w:r>
      <w:r w:rsidR="00747566" w:rsidRPr="00D81472">
        <w:rPr>
          <w:rFonts w:ascii="Baskerville" w:hAnsi="Baskerville" w:cs="Times New Roman"/>
        </w:rPr>
        <w:t xml:space="preserve">es </w:t>
      </w:r>
      <w:r w:rsidRPr="00D81472">
        <w:rPr>
          <w:rFonts w:ascii="Baskerville" w:hAnsi="Baskerville" w:cs="Times New Roman"/>
        </w:rPr>
        <w:t>proponer un adecuado tratamiento</w:t>
      </w:r>
      <w:r w:rsidR="00833B68" w:rsidRPr="00D81472">
        <w:rPr>
          <w:rFonts w:ascii="Baskerville" w:hAnsi="Baskerville" w:cs="Times New Roman"/>
        </w:rPr>
        <w:t xml:space="preserve"> recursivo de</w:t>
      </w:r>
      <w:r w:rsidRPr="00D81472">
        <w:rPr>
          <w:rFonts w:ascii="Baskerville" w:hAnsi="Baskerville" w:cs="Times New Roman"/>
        </w:rPr>
        <w:t xml:space="preserve"> las sentencias jurisdiccionales </w:t>
      </w:r>
      <w:r w:rsidR="00C27FED" w:rsidRPr="00D81472">
        <w:rPr>
          <w:rFonts w:ascii="Baskerville" w:hAnsi="Baskerville" w:cs="Times New Roman"/>
        </w:rPr>
        <w:t>ya</w:t>
      </w:r>
      <w:r w:rsidRPr="00D81472">
        <w:rPr>
          <w:rFonts w:ascii="Baskerville" w:hAnsi="Baskerville" w:cs="Times New Roman"/>
        </w:rPr>
        <w:t xml:space="preserve"> que</w:t>
      </w:r>
      <w:r w:rsidR="00747566" w:rsidRPr="00D81472">
        <w:rPr>
          <w:rFonts w:ascii="Baskerville" w:hAnsi="Baskerville" w:cs="Times New Roman"/>
        </w:rPr>
        <w:t>,</w:t>
      </w:r>
      <w:r w:rsidRPr="00D81472">
        <w:rPr>
          <w:rFonts w:ascii="Baskerville" w:hAnsi="Baskerville" w:cs="Times New Roman"/>
        </w:rPr>
        <w:t xml:space="preserve"> precisamente</w:t>
      </w:r>
      <w:r w:rsidR="00747566" w:rsidRPr="00D81472">
        <w:rPr>
          <w:rFonts w:ascii="Baskerville" w:hAnsi="Baskerville" w:cs="Times New Roman"/>
        </w:rPr>
        <w:t>,</w:t>
      </w:r>
      <w:r w:rsidRPr="00D81472">
        <w:rPr>
          <w:rFonts w:ascii="Baskerville" w:hAnsi="Baskerville" w:cs="Times New Roman"/>
        </w:rPr>
        <w:t xml:space="preserve"> a través de ellas</w:t>
      </w:r>
      <w:r w:rsidR="00747566" w:rsidRPr="00D81472">
        <w:rPr>
          <w:rFonts w:ascii="Baskerville" w:hAnsi="Baskerville" w:cs="Times New Roman"/>
        </w:rPr>
        <w:t xml:space="preserve">, es que el TDLC </w:t>
      </w:r>
      <w:r w:rsidR="00833B68" w:rsidRPr="00D81472">
        <w:rPr>
          <w:rFonts w:ascii="Baskerville" w:hAnsi="Baskerville" w:cs="Times New Roman"/>
        </w:rPr>
        <w:t>intenta</w:t>
      </w:r>
      <w:r w:rsidR="006B08D5" w:rsidRPr="00D81472">
        <w:rPr>
          <w:rFonts w:ascii="Baskerville" w:hAnsi="Baskerville" w:cs="Times New Roman"/>
        </w:rPr>
        <w:t>, en la mayoría de los casos,</w:t>
      </w:r>
      <w:r w:rsidR="00833B68" w:rsidRPr="00D81472">
        <w:rPr>
          <w:rFonts w:ascii="Baskerville" w:hAnsi="Baskerville" w:cs="Times New Roman"/>
        </w:rPr>
        <w:t xml:space="preserve"> </w:t>
      </w:r>
      <w:r w:rsidR="00747566" w:rsidRPr="00D81472">
        <w:rPr>
          <w:rFonts w:ascii="Baskerville" w:hAnsi="Baskerville" w:cs="Times New Roman"/>
        </w:rPr>
        <w:t>implementa</w:t>
      </w:r>
      <w:r w:rsidR="00833B68" w:rsidRPr="00D81472">
        <w:rPr>
          <w:rFonts w:ascii="Baskerville" w:hAnsi="Baskerville" w:cs="Times New Roman"/>
        </w:rPr>
        <w:t>r</w:t>
      </w:r>
      <w:r w:rsidRPr="00D81472">
        <w:rPr>
          <w:rFonts w:ascii="Baskerville" w:hAnsi="Baskerville" w:cs="Times New Roman"/>
        </w:rPr>
        <w:t xml:space="preserve"> su política de defensa del mercado.</w:t>
      </w:r>
      <w:r w:rsidR="00747566" w:rsidRPr="00D81472">
        <w:rPr>
          <w:rFonts w:ascii="Baskerville" w:hAnsi="Baskerville" w:cs="Times New Roman"/>
        </w:rPr>
        <w:t xml:space="preserve"> </w:t>
      </w:r>
    </w:p>
    <w:p w14:paraId="36D7059F" w14:textId="77777777" w:rsidR="007A5F95" w:rsidRPr="00D81472" w:rsidRDefault="007A5F95" w:rsidP="00D81472">
      <w:pPr>
        <w:spacing w:line="276" w:lineRule="auto"/>
        <w:jc w:val="both"/>
        <w:rPr>
          <w:rFonts w:ascii="Baskerville" w:hAnsi="Baskerville" w:cs="Times New Roman"/>
        </w:rPr>
      </w:pPr>
    </w:p>
    <w:p w14:paraId="3685249C" w14:textId="14937A32" w:rsidR="00747566" w:rsidRPr="00D81472" w:rsidRDefault="00747566" w:rsidP="00D81472">
      <w:pPr>
        <w:spacing w:line="276" w:lineRule="auto"/>
        <w:jc w:val="both"/>
        <w:rPr>
          <w:rFonts w:ascii="Baskerville" w:hAnsi="Baskerville" w:cs="Times New Roman"/>
        </w:rPr>
      </w:pPr>
      <w:r w:rsidRPr="00D81472">
        <w:rPr>
          <w:rFonts w:ascii="Baskerville" w:hAnsi="Baskerville" w:cs="Times New Roman"/>
        </w:rPr>
        <w:t xml:space="preserve">Así las cosas, el medio establecido para la impugnación de sentencias definitiva es el </w:t>
      </w:r>
      <w:r w:rsidRPr="00D81472">
        <w:rPr>
          <w:rFonts w:ascii="Baskerville" w:hAnsi="Baskerville" w:cs="Times New Roman"/>
          <w:i/>
        </w:rPr>
        <w:t>“Recurso de Reclamación”</w:t>
      </w:r>
      <w:r w:rsidRPr="00D81472">
        <w:rPr>
          <w:rStyle w:val="Refdenotaalpie"/>
          <w:rFonts w:ascii="Baskerville" w:hAnsi="Baskerville" w:cs="Times New Roman"/>
        </w:rPr>
        <w:t xml:space="preserve"> </w:t>
      </w:r>
      <w:r w:rsidRPr="00D81472">
        <w:rPr>
          <w:rStyle w:val="Refdenotaalpie"/>
          <w:rFonts w:ascii="Baskerville" w:hAnsi="Baskerville" w:cs="Times New Roman"/>
        </w:rPr>
        <w:footnoteReference w:id="7"/>
      </w:r>
      <w:r w:rsidRPr="00D81472">
        <w:rPr>
          <w:rFonts w:ascii="Baskerville" w:hAnsi="Baskerville" w:cs="Times New Roman"/>
          <w:i/>
        </w:rPr>
        <w:t>,</w:t>
      </w:r>
      <w:r w:rsidRPr="00D81472">
        <w:rPr>
          <w:rFonts w:ascii="Baskerville" w:hAnsi="Baskerville" w:cs="Times New Roman"/>
        </w:rPr>
        <w:t xml:space="preserve"> recurso que, por lo demás, es eminentemente administrativo y no jurisdiccional. </w:t>
      </w:r>
    </w:p>
    <w:p w14:paraId="7A9691BA" w14:textId="77777777" w:rsidR="00C27FED" w:rsidRPr="00D81472" w:rsidRDefault="00C27FED" w:rsidP="00D81472">
      <w:pPr>
        <w:spacing w:line="276" w:lineRule="auto"/>
        <w:jc w:val="both"/>
        <w:rPr>
          <w:rFonts w:ascii="Baskerville" w:hAnsi="Baskerville" w:cs="Times New Roman"/>
        </w:rPr>
      </w:pPr>
    </w:p>
    <w:p w14:paraId="7D61734B" w14:textId="29708D52" w:rsidR="00C27FED" w:rsidRPr="00D81472" w:rsidRDefault="00C27FED" w:rsidP="00D81472">
      <w:pPr>
        <w:spacing w:line="276" w:lineRule="auto"/>
        <w:jc w:val="both"/>
        <w:rPr>
          <w:rFonts w:ascii="Baskerville" w:hAnsi="Baskerville" w:cs="Times New Roman"/>
        </w:rPr>
      </w:pPr>
      <w:r w:rsidRPr="00D81472">
        <w:rPr>
          <w:rFonts w:ascii="Baskerville" w:hAnsi="Baskerville" w:cs="Times New Roman"/>
        </w:rPr>
        <w:t>Ahora bien, es correcto entonces preguntarse cual es el alcance que tiene el recurso de reclamación. Para esto nos apoyaremos en lo que dictaminó la Corte Suprema en sentencia de 27 de enero de 2009</w:t>
      </w:r>
      <w:r w:rsidRPr="00D81472">
        <w:rPr>
          <w:rStyle w:val="Refdenotaalpie"/>
          <w:rFonts w:ascii="Baskerville" w:hAnsi="Baskerville" w:cs="Times New Roman"/>
        </w:rPr>
        <w:footnoteReference w:id="8"/>
      </w:r>
      <w:r w:rsidRPr="00D81472">
        <w:rPr>
          <w:rFonts w:ascii="Baskerville" w:hAnsi="Baskerville" w:cs="Times New Roman"/>
        </w:rPr>
        <w:t xml:space="preserve">, la cual señala lo siguiente: </w:t>
      </w:r>
    </w:p>
    <w:p w14:paraId="0E0E4D95" w14:textId="77777777" w:rsidR="00C27FED" w:rsidRPr="00D81472" w:rsidRDefault="00C27FED" w:rsidP="00D81472">
      <w:pPr>
        <w:spacing w:line="276" w:lineRule="auto"/>
        <w:jc w:val="both"/>
        <w:rPr>
          <w:rFonts w:ascii="Baskerville" w:hAnsi="Baskerville" w:cs="Times New Roman"/>
        </w:rPr>
      </w:pPr>
    </w:p>
    <w:p w14:paraId="55C3003B" w14:textId="4BE6AD7E" w:rsidR="00C27FED" w:rsidRPr="00D81472" w:rsidRDefault="00C27FED" w:rsidP="00D81472">
      <w:pPr>
        <w:spacing w:line="276" w:lineRule="auto"/>
        <w:jc w:val="both"/>
        <w:rPr>
          <w:rFonts w:ascii="Baskerville" w:hAnsi="Baskerville" w:cs="Times New Roman"/>
        </w:rPr>
      </w:pPr>
      <w:r w:rsidRPr="00D81472">
        <w:rPr>
          <w:rFonts w:ascii="Baskerville" w:hAnsi="Baskerville" w:cs="Times New Roman"/>
        </w:rPr>
        <w:t xml:space="preserve">SEXTO: Que según se desprende de la historia fidedigna del establecimiento del recurso de reclamación (…) la </w:t>
      </w:r>
      <w:r w:rsidRPr="00D81472">
        <w:rPr>
          <w:rFonts w:ascii="Baskerville" w:hAnsi="Baskerville" w:cs="Times New Roman"/>
          <w:i/>
          <w:u w:val="single"/>
        </w:rPr>
        <w:t>Corte Suprema puede en virtud de este medio de impugnación revisar íntegramente los fundamentos</w:t>
      </w:r>
      <w:r w:rsidRPr="00D81472">
        <w:rPr>
          <w:rFonts w:ascii="Baskerville" w:hAnsi="Baskerville" w:cs="Times New Roman"/>
        </w:rPr>
        <w:t xml:space="preserve"> que tuvo en cuenta el Tribunal de Defensa de la Libre Competencia para arribar a su decisión, </w:t>
      </w:r>
      <w:r w:rsidRPr="00D81472">
        <w:rPr>
          <w:rFonts w:ascii="Baskerville" w:hAnsi="Baskerville" w:cs="Times New Roman"/>
          <w:i/>
          <w:u w:val="single"/>
        </w:rPr>
        <w:t>incluyendo el análisis jurídico y económico</w:t>
      </w:r>
      <w:r w:rsidRPr="00D81472">
        <w:rPr>
          <w:rFonts w:ascii="Baskerville" w:hAnsi="Baskerville" w:cs="Times New Roman"/>
        </w:rPr>
        <w:t xml:space="preserve"> que ha permitido arribar a la resolución del asunto de que dicho tribunal conoce; </w:t>
      </w:r>
    </w:p>
    <w:p w14:paraId="0EE00760" w14:textId="77777777" w:rsidR="00C27FED" w:rsidRPr="00D81472" w:rsidRDefault="00C27FED" w:rsidP="00D81472">
      <w:pPr>
        <w:spacing w:line="276" w:lineRule="auto"/>
        <w:jc w:val="both"/>
        <w:rPr>
          <w:rFonts w:ascii="Baskerville" w:hAnsi="Baskerville" w:cs="Times New Roman"/>
        </w:rPr>
      </w:pPr>
    </w:p>
    <w:p w14:paraId="32781345" w14:textId="77777777" w:rsidR="00C27FED" w:rsidRPr="00D81472" w:rsidRDefault="00C27FED" w:rsidP="00D81472">
      <w:pPr>
        <w:spacing w:line="276" w:lineRule="auto"/>
        <w:jc w:val="both"/>
        <w:rPr>
          <w:rFonts w:ascii="Baskerville" w:hAnsi="Baskerville" w:cs="Times New Roman"/>
        </w:rPr>
      </w:pPr>
      <w:r w:rsidRPr="00D81472">
        <w:rPr>
          <w:rFonts w:ascii="Baskerville" w:hAnsi="Baskerville" w:cs="Times New Roman"/>
        </w:rPr>
        <w:t xml:space="preserve">SEPTIMO: Que, en este sentido, la Corte Suprema puede examinar entonces no sólo las condiciones impuestas en el proceso, </w:t>
      </w:r>
      <w:r w:rsidRPr="00D81472">
        <w:rPr>
          <w:rFonts w:ascii="Baskerville" w:hAnsi="Baskerville" w:cs="Times New Roman"/>
          <w:i/>
          <w:u w:val="single"/>
        </w:rPr>
        <w:t>sino también la globalidad de la materia del asunto resuelto</w:t>
      </w:r>
      <w:r w:rsidRPr="00D81472">
        <w:rPr>
          <w:rFonts w:ascii="Baskerville" w:hAnsi="Baskerville" w:cs="Times New Roman"/>
        </w:rPr>
        <w:t>, y ello en razón tanto de la estrecha vinculación existente entre dicha materia y las condiciones que se determinen o que puedan determinarse, como de las situaciones de influencia recíproca que pueden producirse entre ellas;</w:t>
      </w:r>
    </w:p>
    <w:p w14:paraId="4387B8F4" w14:textId="77777777" w:rsidR="00C27FED" w:rsidRPr="00D81472" w:rsidRDefault="00C27FED" w:rsidP="00D81472">
      <w:pPr>
        <w:spacing w:line="276" w:lineRule="auto"/>
        <w:jc w:val="both"/>
        <w:rPr>
          <w:rFonts w:ascii="Baskerville" w:hAnsi="Baskerville" w:cs="Times New Roman"/>
        </w:rPr>
      </w:pPr>
    </w:p>
    <w:p w14:paraId="487F04C4" w14:textId="43880F70" w:rsidR="00C27FED" w:rsidRPr="00D81472" w:rsidRDefault="00C27FED" w:rsidP="00D81472">
      <w:pPr>
        <w:spacing w:line="276" w:lineRule="auto"/>
        <w:jc w:val="both"/>
        <w:rPr>
          <w:rFonts w:ascii="Baskerville" w:hAnsi="Baskerville" w:cs="Times New Roman"/>
        </w:rPr>
      </w:pPr>
      <w:r w:rsidRPr="00D81472">
        <w:rPr>
          <w:rFonts w:ascii="Baskerville" w:hAnsi="Baskerville" w:cs="Times New Roman"/>
        </w:rPr>
        <w:t xml:space="preserve">OCTAVO: Que, en concordancia con lo antes dicho, del texto del artículo 31 del Decreto Ley N° 211 no se advierte la imposición de limitaciones a la actividad jurisdiccional de esta Corte que ha sido puesta en movimiento a través del recurso de reclamación. El citado precepto legal sólo restringe su procedencia en relación a las resoluciones que son susceptibles del mismo, pero </w:t>
      </w:r>
      <w:r w:rsidRPr="00D81472">
        <w:rPr>
          <w:rFonts w:ascii="Baskerville" w:hAnsi="Baskerville" w:cs="Times New Roman"/>
          <w:i/>
          <w:u w:val="single"/>
        </w:rPr>
        <w:t>no establece limitaciones que pudiesen afectar a la Corte Suprema en el conocimiento y decisión del recurso</w:t>
      </w:r>
      <w:r w:rsidRPr="00D81472">
        <w:rPr>
          <w:rFonts w:ascii="Baskerville" w:hAnsi="Baskerville" w:cs="Times New Roman"/>
        </w:rPr>
        <w:t xml:space="preserve">. De tal manera, </w:t>
      </w:r>
      <w:r w:rsidRPr="00D81472">
        <w:rPr>
          <w:rFonts w:ascii="Baskerville" w:hAnsi="Baskerville" w:cs="Times New Roman"/>
          <w:i/>
          <w:u w:val="single"/>
        </w:rPr>
        <w:t>requerida su intervención, ésta puede conocer del asunto en su integridad</w:t>
      </w:r>
      <w:r w:rsidRPr="00D81472">
        <w:rPr>
          <w:rFonts w:ascii="Baskerville" w:hAnsi="Baskerville" w:cs="Times New Roman"/>
        </w:rPr>
        <w:t>”.</w:t>
      </w:r>
    </w:p>
    <w:p w14:paraId="77E2590F" w14:textId="77777777" w:rsidR="00747566" w:rsidRPr="00D81472" w:rsidRDefault="00747566" w:rsidP="00D81472">
      <w:pPr>
        <w:spacing w:line="276" w:lineRule="auto"/>
        <w:jc w:val="both"/>
        <w:rPr>
          <w:rFonts w:ascii="Baskerville" w:hAnsi="Baskerville" w:cs="Times New Roman"/>
        </w:rPr>
      </w:pPr>
    </w:p>
    <w:p w14:paraId="6B1B548C" w14:textId="7CD01886" w:rsidR="0006477E" w:rsidRPr="00D81472" w:rsidRDefault="0006477E" w:rsidP="00D81472">
      <w:pPr>
        <w:spacing w:line="276" w:lineRule="auto"/>
        <w:jc w:val="both"/>
        <w:rPr>
          <w:rFonts w:ascii="Baskerville" w:hAnsi="Baskerville" w:cs="Times New Roman"/>
        </w:rPr>
      </w:pPr>
      <w:r w:rsidRPr="00D81472">
        <w:rPr>
          <w:rFonts w:ascii="Baskerville" w:hAnsi="Baskerville" w:cs="Times New Roman"/>
        </w:rPr>
        <w:t>De lo anteriormente transcrito podemos observar que el recurso de impugnación de las sentencias definitivas en libre competencia</w:t>
      </w:r>
      <w:r w:rsidR="00AA278C" w:rsidRPr="00D81472">
        <w:rPr>
          <w:rFonts w:ascii="Baskerville" w:hAnsi="Baskerville" w:cs="Times New Roman"/>
        </w:rPr>
        <w:t xml:space="preserve"> –recurso de reclamación-</w:t>
      </w:r>
      <w:r w:rsidRPr="00D81472">
        <w:rPr>
          <w:rFonts w:ascii="Baskerville" w:hAnsi="Baskerville" w:cs="Times New Roman"/>
        </w:rPr>
        <w:t xml:space="preserve"> deslinda con las características de un recurso de apelación ordinario. </w:t>
      </w:r>
    </w:p>
    <w:p w14:paraId="3F72CA0C" w14:textId="77777777" w:rsidR="0006477E" w:rsidRPr="00D81472" w:rsidRDefault="0006477E" w:rsidP="00D81472">
      <w:pPr>
        <w:spacing w:line="276" w:lineRule="auto"/>
        <w:jc w:val="both"/>
        <w:rPr>
          <w:rFonts w:ascii="Baskerville" w:hAnsi="Baskerville" w:cs="Times New Roman"/>
        </w:rPr>
      </w:pPr>
    </w:p>
    <w:p w14:paraId="6475455E" w14:textId="12EE7444" w:rsidR="0006477E" w:rsidRPr="00D81472" w:rsidRDefault="0006477E" w:rsidP="00D81472">
      <w:pPr>
        <w:spacing w:line="276" w:lineRule="auto"/>
        <w:jc w:val="both"/>
        <w:rPr>
          <w:rFonts w:ascii="Baskerville" w:hAnsi="Baskerville" w:cs="Times New Roman"/>
        </w:rPr>
      </w:pPr>
      <w:r w:rsidRPr="00D81472">
        <w:rPr>
          <w:rFonts w:ascii="Baskerville" w:hAnsi="Baskerville" w:cs="Times New Roman"/>
        </w:rPr>
        <w:t xml:space="preserve">En el recurso de reclamación </w:t>
      </w:r>
      <w:r w:rsidR="00833B68" w:rsidRPr="00D81472">
        <w:rPr>
          <w:rFonts w:ascii="Baskerville" w:hAnsi="Baskerville" w:cs="Times New Roman"/>
        </w:rPr>
        <w:t xml:space="preserve">por </w:t>
      </w:r>
      <w:r w:rsidR="00AA278C" w:rsidRPr="00D81472">
        <w:rPr>
          <w:rFonts w:ascii="Baskerville" w:hAnsi="Baskerville" w:cs="Times New Roman"/>
        </w:rPr>
        <w:t xml:space="preserve">tanto, según la Corte (la que muy antojadizamente define su </w:t>
      </w:r>
      <w:r w:rsidR="00663F53" w:rsidRPr="00D81472">
        <w:rPr>
          <w:rFonts w:ascii="Baskerville" w:hAnsi="Baskerville" w:cs="Times New Roman"/>
        </w:rPr>
        <w:t>alcance</w:t>
      </w:r>
      <w:r w:rsidR="00AA278C" w:rsidRPr="00D81472">
        <w:rPr>
          <w:rFonts w:ascii="Baskerville" w:hAnsi="Baskerville" w:cs="Times New Roman"/>
        </w:rPr>
        <w:t>)</w:t>
      </w:r>
      <w:r w:rsidR="00833B68" w:rsidRPr="00D81472">
        <w:rPr>
          <w:rFonts w:ascii="Baskerville" w:hAnsi="Baskerville" w:cs="Times New Roman"/>
        </w:rPr>
        <w:t>,</w:t>
      </w:r>
      <w:r w:rsidR="00AA278C" w:rsidRPr="00D81472">
        <w:rPr>
          <w:rFonts w:ascii="Baskerville" w:hAnsi="Baskerville" w:cs="Times New Roman"/>
        </w:rPr>
        <w:t xml:space="preserve"> se faculta a ella</w:t>
      </w:r>
      <w:r w:rsidR="00833B68" w:rsidRPr="00D81472">
        <w:rPr>
          <w:rFonts w:ascii="Baskerville" w:hAnsi="Baskerville" w:cs="Times New Roman"/>
        </w:rPr>
        <w:t xml:space="preserve"> misma</w:t>
      </w:r>
      <w:r w:rsidR="00AA278C" w:rsidRPr="00D81472">
        <w:rPr>
          <w:rFonts w:ascii="Baskerville" w:hAnsi="Baskerville" w:cs="Times New Roman"/>
        </w:rPr>
        <w:t xml:space="preserve"> a conocer todo el proceso llevado a cabo por el tribunal de primera instancia, incluyendo las consideraciones de hecho y de derecho esgrimidas en sus considerandos. </w:t>
      </w:r>
    </w:p>
    <w:p w14:paraId="1516F196" w14:textId="77777777" w:rsidR="00AA278C" w:rsidRPr="00D81472" w:rsidRDefault="00AA278C" w:rsidP="00D81472">
      <w:pPr>
        <w:spacing w:line="276" w:lineRule="auto"/>
        <w:jc w:val="both"/>
        <w:rPr>
          <w:rFonts w:ascii="Baskerville" w:hAnsi="Baskerville" w:cs="Times New Roman"/>
        </w:rPr>
      </w:pPr>
    </w:p>
    <w:p w14:paraId="7F7D57E8" w14:textId="4CAA49FC" w:rsidR="00AA278C" w:rsidRPr="00D81472" w:rsidRDefault="00663F53" w:rsidP="00D81472">
      <w:pPr>
        <w:spacing w:line="276" w:lineRule="auto"/>
        <w:jc w:val="both"/>
        <w:rPr>
          <w:rFonts w:ascii="Baskerville" w:hAnsi="Baskerville" w:cs="Times New Roman"/>
        </w:rPr>
      </w:pPr>
      <w:r w:rsidRPr="00D81472">
        <w:rPr>
          <w:rFonts w:ascii="Baskerville" w:hAnsi="Baskerville" w:cs="Times New Roman"/>
        </w:rPr>
        <w:t>E</w:t>
      </w:r>
      <w:r w:rsidR="00AA278C" w:rsidRPr="00D81472">
        <w:rPr>
          <w:rFonts w:ascii="Baskerville" w:hAnsi="Baskerville" w:cs="Times New Roman"/>
        </w:rPr>
        <w:t>s aquí en donde debemos detenernos un momento, por un lado tenemos a un tribunal con un marcado acento administrativo, que cumple un papel preponderante en la implementación de políticas públicas</w:t>
      </w:r>
      <w:r w:rsidRPr="00D81472">
        <w:rPr>
          <w:rFonts w:ascii="Baskerville" w:hAnsi="Baskerville" w:cs="Times New Roman"/>
        </w:rPr>
        <w:t xml:space="preserve"> económicas,</w:t>
      </w:r>
      <w:r w:rsidR="00AA278C" w:rsidRPr="00D81472">
        <w:rPr>
          <w:rFonts w:ascii="Baskerville" w:hAnsi="Baskerville" w:cs="Times New Roman"/>
        </w:rPr>
        <w:t xml:space="preserve"> que además es experto en su materia</w:t>
      </w:r>
      <w:r w:rsidRPr="00D81472">
        <w:rPr>
          <w:rFonts w:ascii="Baskerville" w:hAnsi="Baskerville" w:cs="Times New Roman"/>
        </w:rPr>
        <w:t>,</w:t>
      </w:r>
      <w:r w:rsidR="00AA278C" w:rsidRPr="00D81472">
        <w:rPr>
          <w:rFonts w:ascii="Baskerville" w:hAnsi="Baskerville" w:cs="Times New Roman"/>
        </w:rPr>
        <w:t xml:space="preserve"> y por otro lado</w:t>
      </w:r>
      <w:r w:rsidRPr="00D81472">
        <w:rPr>
          <w:rFonts w:ascii="Baskerville" w:hAnsi="Baskerville" w:cs="Times New Roman"/>
        </w:rPr>
        <w:t>,</w:t>
      </w:r>
      <w:r w:rsidR="00AA278C" w:rsidRPr="00D81472">
        <w:rPr>
          <w:rFonts w:ascii="Baskerville" w:hAnsi="Baskerville" w:cs="Times New Roman"/>
        </w:rPr>
        <w:t xml:space="preserve"> tenemos a un juez que es eminentemente generalista. </w:t>
      </w:r>
    </w:p>
    <w:p w14:paraId="74911A4F" w14:textId="77777777" w:rsidR="00AA278C" w:rsidRPr="00D81472" w:rsidRDefault="00AA278C" w:rsidP="00D81472">
      <w:pPr>
        <w:spacing w:line="276" w:lineRule="auto"/>
        <w:jc w:val="both"/>
        <w:rPr>
          <w:rFonts w:ascii="Baskerville" w:hAnsi="Baskerville" w:cs="Times New Roman"/>
        </w:rPr>
      </w:pPr>
    </w:p>
    <w:p w14:paraId="6CDFD43F" w14:textId="0DAA2B8E" w:rsidR="006E548A" w:rsidRPr="00D81472" w:rsidRDefault="00AA278C" w:rsidP="00D81472">
      <w:pPr>
        <w:spacing w:line="276" w:lineRule="auto"/>
        <w:jc w:val="both"/>
        <w:rPr>
          <w:rFonts w:ascii="Baskerville" w:hAnsi="Baskerville" w:cs="Times New Roman"/>
        </w:rPr>
      </w:pPr>
      <w:r w:rsidRPr="00D81472">
        <w:rPr>
          <w:rFonts w:ascii="Baskerville" w:hAnsi="Baskerville" w:cs="Times New Roman"/>
        </w:rPr>
        <w:lastRenderedPageBreak/>
        <w:t xml:space="preserve">Ahora bien, ¿qué es lo que entendemos por juez generalista? Para efectos de este </w:t>
      </w:r>
      <w:r w:rsidR="00E464C5">
        <w:rPr>
          <w:rFonts w:ascii="Baskerville" w:hAnsi="Baskerville" w:cs="Times New Roman"/>
        </w:rPr>
        <w:t>proyecto de ley</w:t>
      </w:r>
      <w:r w:rsidRPr="00D81472">
        <w:rPr>
          <w:rFonts w:ascii="Baskerville" w:hAnsi="Baskerville" w:cs="Times New Roman"/>
        </w:rPr>
        <w:t xml:space="preserve"> entenderemos por jurisdicción generalista la existencia de un tribunal con competencia civil, ya sea del fuero común o bien un sistema de tribunales contenciosos administrativos dentro del poder judicial</w:t>
      </w:r>
      <w:r w:rsidRPr="00D81472">
        <w:rPr>
          <w:rStyle w:val="Refdenotaalpie"/>
          <w:rFonts w:ascii="Baskerville" w:hAnsi="Baskerville" w:cs="Times New Roman"/>
        </w:rPr>
        <w:footnoteReference w:id="9"/>
      </w:r>
      <w:r w:rsidRPr="00D81472">
        <w:rPr>
          <w:rFonts w:ascii="Baskerville" w:hAnsi="Baskerville" w:cs="Times New Roman"/>
        </w:rPr>
        <w:t>.</w:t>
      </w:r>
    </w:p>
    <w:p w14:paraId="50205E90" w14:textId="77777777" w:rsidR="006E548A" w:rsidRPr="00D81472" w:rsidRDefault="006E548A" w:rsidP="00D81472">
      <w:pPr>
        <w:spacing w:line="276" w:lineRule="auto"/>
        <w:jc w:val="both"/>
        <w:rPr>
          <w:rFonts w:ascii="Baskerville" w:hAnsi="Baskerville" w:cs="Times New Roman"/>
        </w:rPr>
      </w:pPr>
    </w:p>
    <w:p w14:paraId="34E69F7B" w14:textId="4488A5C0" w:rsidR="006E548A" w:rsidRPr="00D81472" w:rsidRDefault="006E548A" w:rsidP="00D81472">
      <w:pPr>
        <w:spacing w:line="276" w:lineRule="auto"/>
        <w:jc w:val="both"/>
        <w:rPr>
          <w:rFonts w:ascii="Baskerville" w:hAnsi="Baskerville" w:cs="Times New Roman"/>
          <w:lang w:val="es-ES"/>
        </w:rPr>
      </w:pPr>
      <w:r w:rsidRPr="00D81472">
        <w:rPr>
          <w:rFonts w:ascii="Baskerville" w:hAnsi="Baskerville" w:cs="Times New Roman"/>
        </w:rPr>
        <w:t>Si esto último lo relacionamos con el carácter amplio de revisión que tiene la Corte Suprema para revisar todos los aspectos de la sentencia de primer</w:t>
      </w:r>
      <w:r w:rsidR="0073593E" w:rsidRPr="00D81472">
        <w:rPr>
          <w:rFonts w:ascii="Baskerville" w:hAnsi="Baskerville" w:cs="Times New Roman"/>
        </w:rPr>
        <w:t>a</w:t>
      </w:r>
      <w:r w:rsidRPr="00D81472">
        <w:rPr>
          <w:rFonts w:ascii="Baskerville" w:hAnsi="Baskerville" w:cs="Times New Roman"/>
        </w:rPr>
        <w:t xml:space="preserve"> instancia tenderíamos a estar de acuerdo con la siguiente idea: “</w:t>
      </w:r>
      <w:r w:rsidRPr="00D81472">
        <w:rPr>
          <w:rFonts w:ascii="Baskerville" w:hAnsi="Baskerville" w:cs="Times New Roman"/>
          <w:lang w:val="es-ES"/>
        </w:rPr>
        <w:t xml:space="preserve">si el organismo de revisión es generalista y carece de </w:t>
      </w:r>
      <w:r w:rsidRPr="00D81472">
        <w:rPr>
          <w:rFonts w:ascii="Baskerville" w:hAnsi="Baskerville" w:cs="Times New Roman"/>
          <w:i/>
          <w:iCs/>
          <w:lang w:val="es-ES"/>
        </w:rPr>
        <w:t>ex</w:t>
      </w:r>
      <w:r w:rsidRPr="00D81472">
        <w:rPr>
          <w:rFonts w:ascii="Baskerville" w:hAnsi="Baskerville" w:cs="Times New Roman"/>
          <w:i/>
          <w:iCs/>
          <w:lang w:val="es-ES"/>
        </w:rPr>
        <w:softHyphen/>
        <w:t>pertise</w:t>
      </w:r>
      <w:r w:rsidRPr="00D81472">
        <w:rPr>
          <w:rFonts w:ascii="Baskerville" w:hAnsi="Baskerville" w:cs="Times New Roman"/>
          <w:lang w:val="es-ES"/>
        </w:rPr>
        <w:t>, es altamente probable que tenga un incentivo a ser deferente con la Administración, al menos respecto de cuestiones de hecho y, posiblemente, también de política pública”</w:t>
      </w:r>
      <w:r w:rsidR="0073593E" w:rsidRPr="00D81472">
        <w:rPr>
          <w:rStyle w:val="Refdenotaalpie"/>
          <w:rFonts w:ascii="Baskerville" w:hAnsi="Baskerville" w:cs="Times New Roman"/>
          <w:lang w:val="es-ES"/>
        </w:rPr>
        <w:footnoteReference w:id="10"/>
      </w:r>
      <w:r w:rsidRPr="00D81472">
        <w:rPr>
          <w:rFonts w:ascii="Baskerville" w:hAnsi="Baskerville" w:cs="Times New Roman"/>
          <w:lang w:val="es-ES"/>
        </w:rPr>
        <w:t xml:space="preserve">. </w:t>
      </w:r>
    </w:p>
    <w:p w14:paraId="5478FFEE" w14:textId="77777777" w:rsidR="006E548A" w:rsidRPr="00D81472" w:rsidRDefault="006E548A" w:rsidP="00D81472">
      <w:pPr>
        <w:spacing w:line="276" w:lineRule="auto"/>
        <w:jc w:val="both"/>
        <w:rPr>
          <w:rFonts w:ascii="Baskerville" w:hAnsi="Baskerville" w:cs="Times New Roman"/>
          <w:lang w:val="es-ES"/>
        </w:rPr>
      </w:pPr>
    </w:p>
    <w:p w14:paraId="04D89A99" w14:textId="767629CE" w:rsidR="006E548A" w:rsidRPr="00D81472" w:rsidRDefault="006E548A" w:rsidP="00D81472">
      <w:pPr>
        <w:spacing w:line="276" w:lineRule="auto"/>
        <w:jc w:val="both"/>
        <w:rPr>
          <w:rFonts w:ascii="Baskerville" w:hAnsi="Baskerville" w:cs="Times New Roman"/>
          <w:lang w:val="es-ES"/>
        </w:rPr>
      </w:pPr>
      <w:r w:rsidRPr="00D81472">
        <w:rPr>
          <w:rFonts w:ascii="Baskerville" w:hAnsi="Baskerville" w:cs="Times New Roman"/>
          <w:lang w:val="es-ES"/>
        </w:rPr>
        <w:t xml:space="preserve">Sin embargo en Chile, tenemos un tribunal supremo que </w:t>
      </w:r>
      <w:r w:rsidR="0073593E" w:rsidRPr="00D81472">
        <w:rPr>
          <w:rFonts w:ascii="Baskerville" w:hAnsi="Baskerville" w:cs="Times New Roman"/>
          <w:lang w:val="es-ES"/>
        </w:rPr>
        <w:t>no es deferente, el número de sentencias que son confirmadas es porcentualmente el mismo número de las sentencias que son revocadas en sede le libre competencia. Esto va en pugna directamente con que, “</w:t>
      </w:r>
      <w:r w:rsidRPr="00D81472">
        <w:rPr>
          <w:rFonts w:ascii="Baskerville" w:hAnsi="Baskerville" w:cs="Times New Roman"/>
          <w:lang w:val="es-ES"/>
        </w:rPr>
        <w:t>en principio el estándar de revisión no debiera permitirle ir más allá de las cuestiones de derecho, como una forma de restringir la “tentación” de desviarse de dicha deferencia, pues, dado su carácter generalista, el resultado podría resultar dañino para los objetivos que el</w:t>
      </w:r>
      <w:r w:rsidR="0073593E" w:rsidRPr="00D81472">
        <w:rPr>
          <w:rFonts w:ascii="Baskerville" w:hAnsi="Baskerville" w:cs="Times New Roman"/>
          <w:lang w:val="es-ES"/>
        </w:rPr>
        <w:t xml:space="preserve"> sistema regulatorio persigue</w:t>
      </w:r>
      <w:r w:rsidR="0073593E" w:rsidRPr="00D81472">
        <w:rPr>
          <w:rStyle w:val="Refdenotaalpie"/>
          <w:rFonts w:ascii="Baskerville" w:hAnsi="Baskerville" w:cs="Times New Roman"/>
          <w:lang w:val="es-ES"/>
        </w:rPr>
        <w:footnoteReference w:id="11"/>
      </w:r>
      <w:r w:rsidR="0073593E" w:rsidRPr="00D81472">
        <w:rPr>
          <w:rFonts w:ascii="Baskerville" w:hAnsi="Baskerville" w:cs="Times New Roman"/>
          <w:lang w:val="es-ES"/>
        </w:rPr>
        <w:t xml:space="preserve">. </w:t>
      </w:r>
    </w:p>
    <w:p w14:paraId="52A50B12" w14:textId="77777777" w:rsidR="0073593E" w:rsidRPr="00D81472" w:rsidRDefault="0073593E" w:rsidP="00D81472">
      <w:pPr>
        <w:spacing w:line="276" w:lineRule="auto"/>
        <w:jc w:val="both"/>
        <w:rPr>
          <w:rFonts w:ascii="Baskerville" w:hAnsi="Baskerville" w:cs="Times New Roman"/>
          <w:lang w:val="es-ES"/>
        </w:rPr>
      </w:pPr>
    </w:p>
    <w:p w14:paraId="7B9D25AE" w14:textId="5EF23251" w:rsidR="00B27D89" w:rsidRPr="00D81472" w:rsidRDefault="0073593E" w:rsidP="00D81472">
      <w:pPr>
        <w:spacing w:line="276" w:lineRule="auto"/>
        <w:jc w:val="both"/>
        <w:rPr>
          <w:rFonts w:ascii="Baskerville" w:hAnsi="Baskerville" w:cs="Times New Roman"/>
          <w:lang w:val="es-ES"/>
        </w:rPr>
      </w:pPr>
      <w:r w:rsidRPr="00D81472">
        <w:rPr>
          <w:rFonts w:ascii="Baskerville" w:hAnsi="Baskerville" w:cs="Times New Roman"/>
          <w:lang w:val="es-ES"/>
        </w:rPr>
        <w:t xml:space="preserve">Lo anterior es importante, y si lo </w:t>
      </w:r>
      <w:r w:rsidR="00833B68" w:rsidRPr="00D81472">
        <w:rPr>
          <w:rFonts w:ascii="Baskerville" w:hAnsi="Baskerville" w:cs="Times New Roman"/>
          <w:lang w:val="es-ES"/>
        </w:rPr>
        <w:t>enmarcamos con lo</w:t>
      </w:r>
      <w:r w:rsidRPr="00D81472">
        <w:rPr>
          <w:rFonts w:ascii="Baskerville" w:hAnsi="Baskerville" w:cs="Times New Roman"/>
          <w:lang w:val="es-ES"/>
        </w:rPr>
        <w:t xml:space="preserve"> mencionado precedentemente</w:t>
      </w:r>
      <w:r w:rsidR="00833B68" w:rsidRPr="00D81472">
        <w:rPr>
          <w:rFonts w:ascii="Baskerville" w:hAnsi="Baskerville" w:cs="Times New Roman"/>
          <w:lang w:val="es-ES"/>
        </w:rPr>
        <w:t>,</w:t>
      </w:r>
      <w:r w:rsidRPr="00D81472">
        <w:rPr>
          <w:rFonts w:ascii="Baskerville" w:hAnsi="Baskerville" w:cs="Times New Roman"/>
          <w:lang w:val="es-ES"/>
        </w:rPr>
        <w:t xml:space="preserve"> tenemos una consecuencia</w:t>
      </w:r>
      <w:r w:rsidR="00833B68" w:rsidRPr="00D81472">
        <w:rPr>
          <w:rFonts w:ascii="Baskerville" w:hAnsi="Baskerville" w:cs="Times New Roman"/>
          <w:lang w:val="es-ES"/>
        </w:rPr>
        <w:t xml:space="preserve"> que podría ser muy perjudicial; n</w:t>
      </w:r>
      <w:r w:rsidRPr="00D81472">
        <w:rPr>
          <w:rFonts w:ascii="Baskerville" w:hAnsi="Baskerville" w:cs="Times New Roman"/>
          <w:lang w:val="es-ES"/>
        </w:rPr>
        <w:t>uestra Corte Suprema, en la práctica</w:t>
      </w:r>
      <w:r w:rsidR="00833B68" w:rsidRPr="00D81472">
        <w:rPr>
          <w:rFonts w:ascii="Baskerville" w:hAnsi="Baskerville" w:cs="Times New Roman"/>
          <w:lang w:val="es-ES"/>
        </w:rPr>
        <w:t>,</w:t>
      </w:r>
      <w:r w:rsidRPr="00D81472">
        <w:rPr>
          <w:rFonts w:ascii="Baskerville" w:hAnsi="Baskerville" w:cs="Times New Roman"/>
          <w:lang w:val="es-ES"/>
        </w:rPr>
        <w:t xml:space="preserve"> es quie</w:t>
      </w:r>
      <w:r w:rsidR="00663F53" w:rsidRPr="00D81472">
        <w:rPr>
          <w:rFonts w:ascii="Baskerville" w:hAnsi="Baskerville" w:cs="Times New Roman"/>
          <w:lang w:val="es-ES"/>
        </w:rPr>
        <w:t>n está implementando la política</w:t>
      </w:r>
      <w:r w:rsidRPr="00D81472">
        <w:rPr>
          <w:rFonts w:ascii="Baskerville" w:hAnsi="Baskerville" w:cs="Times New Roman"/>
          <w:lang w:val="es-ES"/>
        </w:rPr>
        <w:t xml:space="preserve"> pública de Libre Competencia</w:t>
      </w:r>
      <w:r w:rsidR="00833B68" w:rsidRPr="00D81472">
        <w:rPr>
          <w:rFonts w:ascii="Baskerville" w:hAnsi="Baskerville" w:cs="Times New Roman"/>
          <w:lang w:val="es-ES"/>
        </w:rPr>
        <w:t xml:space="preserve"> en el país</w:t>
      </w:r>
      <w:r w:rsidRPr="00D81472">
        <w:rPr>
          <w:rFonts w:ascii="Baskerville" w:hAnsi="Baskerville" w:cs="Times New Roman"/>
          <w:lang w:val="es-ES"/>
        </w:rPr>
        <w:t xml:space="preserve">, siendo un tribunal generalista y cuyas decisiones son </w:t>
      </w:r>
      <w:r w:rsidRPr="00D81472">
        <w:rPr>
          <w:rFonts w:ascii="Baskerville" w:hAnsi="Baskerville" w:cs="Times New Roman"/>
          <w:i/>
          <w:lang w:val="es-ES"/>
        </w:rPr>
        <w:t>binarias,</w:t>
      </w:r>
      <w:r w:rsidRPr="00D81472">
        <w:rPr>
          <w:rFonts w:ascii="Baskerville" w:hAnsi="Baskerville" w:cs="Times New Roman"/>
          <w:lang w:val="es-ES"/>
        </w:rPr>
        <w:t xml:space="preserve"> alguien gana y alguien pierde.</w:t>
      </w:r>
      <w:r w:rsidR="00833B68" w:rsidRPr="00D81472">
        <w:rPr>
          <w:rFonts w:ascii="Baskerville" w:hAnsi="Baskerville" w:cs="Times New Roman"/>
          <w:lang w:val="es-ES"/>
        </w:rPr>
        <w:t xml:space="preserve"> Siempre.  </w:t>
      </w:r>
    </w:p>
    <w:p w14:paraId="7F7F1E64" w14:textId="77777777" w:rsidR="00833B68" w:rsidRPr="00D81472" w:rsidRDefault="00833B68" w:rsidP="00D81472">
      <w:pPr>
        <w:spacing w:line="276" w:lineRule="auto"/>
        <w:jc w:val="both"/>
        <w:rPr>
          <w:rFonts w:ascii="Baskerville" w:hAnsi="Baskerville" w:cs="Times New Roman"/>
          <w:lang w:val="es-ES"/>
        </w:rPr>
      </w:pPr>
    </w:p>
    <w:p w14:paraId="663B56C8" w14:textId="72F6B376" w:rsidR="00E90246" w:rsidRPr="00D81472" w:rsidRDefault="0021012D" w:rsidP="00D81472">
      <w:pPr>
        <w:spacing w:line="276" w:lineRule="auto"/>
        <w:jc w:val="both"/>
        <w:rPr>
          <w:rFonts w:ascii="Baskerville" w:hAnsi="Baskerville" w:cs="Times New Roman"/>
        </w:rPr>
      </w:pPr>
      <w:r w:rsidRPr="00D81472">
        <w:rPr>
          <w:rFonts w:ascii="Baskerville" w:hAnsi="Baskerville" w:cs="Times New Roman"/>
          <w:b/>
          <w:u w:val="single"/>
        </w:rPr>
        <w:t>El recurso de nulidad, aproximación al sistema de libre competencia</w:t>
      </w:r>
      <w:r w:rsidR="00E90246" w:rsidRPr="00D81472">
        <w:rPr>
          <w:rFonts w:ascii="Baskerville" w:hAnsi="Baskerville" w:cs="Times New Roman"/>
          <w:b/>
          <w:u w:val="single"/>
        </w:rPr>
        <w:t>.</w:t>
      </w:r>
      <w:r w:rsidR="00E90246" w:rsidRPr="00D81472">
        <w:rPr>
          <w:rFonts w:ascii="Baskerville" w:hAnsi="Baskerville" w:cs="Times New Roman"/>
        </w:rPr>
        <w:t xml:space="preserve"> </w:t>
      </w:r>
    </w:p>
    <w:p w14:paraId="15A8FEE0" w14:textId="77777777" w:rsidR="00E90246" w:rsidRPr="00D81472" w:rsidRDefault="00E90246" w:rsidP="00D81472">
      <w:pPr>
        <w:spacing w:line="276" w:lineRule="auto"/>
        <w:jc w:val="both"/>
        <w:rPr>
          <w:rFonts w:ascii="Baskerville" w:hAnsi="Baskerville" w:cs="Times New Roman"/>
        </w:rPr>
      </w:pPr>
    </w:p>
    <w:p w14:paraId="4ABDD9B0" w14:textId="5A5B7212" w:rsidR="00833B68" w:rsidRPr="00D81472" w:rsidRDefault="00E90246" w:rsidP="00D81472">
      <w:pPr>
        <w:spacing w:line="276" w:lineRule="auto"/>
        <w:jc w:val="both"/>
        <w:rPr>
          <w:rFonts w:ascii="Baskerville" w:hAnsi="Baskerville" w:cs="Times New Roman"/>
        </w:rPr>
      </w:pPr>
      <w:r w:rsidRPr="00D81472">
        <w:rPr>
          <w:rFonts w:ascii="Baskerville" w:hAnsi="Baskerville" w:cs="Times New Roman"/>
        </w:rPr>
        <w:t>Como es posible percatarnos del punto anterior</w:t>
      </w:r>
      <w:r w:rsidR="007F3A3E" w:rsidRPr="00D81472">
        <w:rPr>
          <w:rFonts w:ascii="Baskerville" w:hAnsi="Baskerville" w:cs="Times New Roman"/>
        </w:rPr>
        <w:t>, nuestro sistema de Libre C</w:t>
      </w:r>
      <w:r w:rsidR="00760278" w:rsidRPr="00D81472">
        <w:rPr>
          <w:rFonts w:ascii="Baskerville" w:hAnsi="Baskerville" w:cs="Times New Roman"/>
        </w:rPr>
        <w:t>ompetencia presenta</w:t>
      </w:r>
      <w:r w:rsidRPr="00D81472">
        <w:rPr>
          <w:rFonts w:ascii="Baskerville" w:hAnsi="Baskerville" w:cs="Times New Roman"/>
        </w:rPr>
        <w:t xml:space="preserve"> un pequeño error de procedimiento que puede llegar a convertirse en un elemento </w:t>
      </w:r>
      <w:r w:rsidR="00760278" w:rsidRPr="00D81472">
        <w:rPr>
          <w:rFonts w:ascii="Baskerville" w:hAnsi="Baskerville" w:cs="Times New Roman"/>
        </w:rPr>
        <w:t>distorsionador de</w:t>
      </w:r>
      <w:r w:rsidR="007F3A3E" w:rsidRPr="00D81472">
        <w:rPr>
          <w:rFonts w:ascii="Baskerville" w:hAnsi="Baskerville" w:cs="Times New Roman"/>
        </w:rPr>
        <w:t xml:space="preserve"> </w:t>
      </w:r>
      <w:r w:rsidRPr="00D81472">
        <w:rPr>
          <w:rFonts w:ascii="Baskerville" w:hAnsi="Baskerville" w:cs="Times New Roman"/>
        </w:rPr>
        <w:t>la realidad.</w:t>
      </w:r>
      <w:r w:rsidR="007F3A3E" w:rsidRPr="00D81472">
        <w:rPr>
          <w:rFonts w:ascii="Baskerville" w:hAnsi="Baskerville" w:cs="Times New Roman"/>
        </w:rPr>
        <w:t xml:space="preserve"> </w:t>
      </w:r>
    </w:p>
    <w:p w14:paraId="6290E294" w14:textId="77777777" w:rsidR="007F3A3E" w:rsidRPr="00D81472" w:rsidRDefault="007F3A3E" w:rsidP="00D81472">
      <w:pPr>
        <w:spacing w:line="276" w:lineRule="auto"/>
        <w:jc w:val="both"/>
        <w:rPr>
          <w:rFonts w:ascii="Baskerville" w:hAnsi="Baskerville" w:cs="Times New Roman"/>
        </w:rPr>
      </w:pPr>
    </w:p>
    <w:p w14:paraId="27EF6A85" w14:textId="6D1DFFFC" w:rsidR="007F3A3E" w:rsidRPr="00D81472" w:rsidRDefault="007F3A3E" w:rsidP="00D81472">
      <w:pPr>
        <w:spacing w:line="276" w:lineRule="auto"/>
        <w:jc w:val="both"/>
        <w:rPr>
          <w:rFonts w:ascii="Baskerville" w:hAnsi="Baskerville" w:cs="Times New Roman"/>
        </w:rPr>
      </w:pPr>
      <w:r w:rsidRPr="00D81472">
        <w:rPr>
          <w:rFonts w:ascii="Baskerville" w:hAnsi="Baskerville" w:cs="Times New Roman"/>
        </w:rPr>
        <w:lastRenderedPageBreak/>
        <w:t>Es preocupante que un tribunal señale cual es la política pública aplicable a determinado sector de la sociedad, que tenga, además, la capacidad para conocer los elementos de hecho</w:t>
      </w:r>
      <w:r w:rsidR="00344570" w:rsidRPr="00D81472">
        <w:rPr>
          <w:rFonts w:ascii="Baskerville" w:hAnsi="Baskerville" w:cs="Times New Roman"/>
        </w:rPr>
        <w:t xml:space="preserve"> y</w:t>
      </w:r>
      <w:r w:rsidRPr="00D81472">
        <w:rPr>
          <w:rFonts w:ascii="Baskerville" w:hAnsi="Baskerville" w:cs="Times New Roman"/>
        </w:rPr>
        <w:t xml:space="preserve"> de derecho del procedimiento de primera instancia y, finalmente, no sea experto en la materia. En este punto es correcto señalar que l</w:t>
      </w:r>
      <w:r w:rsidR="00344570" w:rsidRPr="00D81472">
        <w:rPr>
          <w:rFonts w:ascii="Baskerville" w:hAnsi="Baskerville" w:cs="Times New Roman"/>
        </w:rPr>
        <w:t xml:space="preserve">a </w:t>
      </w:r>
      <w:r w:rsidR="00344570" w:rsidRPr="00D81472">
        <w:rPr>
          <w:rFonts w:ascii="Baskerville" w:hAnsi="Baskerville" w:cs="Times New Roman"/>
          <w:i/>
        </w:rPr>
        <w:t>expertis</w:t>
      </w:r>
      <w:r w:rsidR="00344570" w:rsidRPr="00D81472">
        <w:rPr>
          <w:rFonts w:ascii="Baskerville" w:hAnsi="Baskerville" w:cs="Times New Roman"/>
        </w:rPr>
        <w:t xml:space="preserve"> s</w:t>
      </w:r>
      <w:r w:rsidRPr="00D81472">
        <w:rPr>
          <w:rFonts w:ascii="Baskerville" w:hAnsi="Baskerville" w:cs="Times New Roman"/>
        </w:rPr>
        <w:t>e puede lograr a través de la formación</w:t>
      </w:r>
      <w:r w:rsidR="00344570" w:rsidRPr="00D81472">
        <w:rPr>
          <w:rFonts w:ascii="Baskerville" w:hAnsi="Baskerville" w:cs="Times New Roman"/>
        </w:rPr>
        <w:t xml:space="preserve"> docente</w:t>
      </w:r>
      <w:r w:rsidRPr="00D81472">
        <w:rPr>
          <w:rFonts w:ascii="Baskerville" w:hAnsi="Baskerville" w:cs="Times New Roman"/>
        </w:rPr>
        <w:t xml:space="preserve"> o a través de la experiencia</w:t>
      </w:r>
      <w:r w:rsidR="008156A8" w:rsidRPr="00D81472">
        <w:rPr>
          <w:rFonts w:ascii="Baskerville" w:hAnsi="Baskerville" w:cs="Times New Roman"/>
        </w:rPr>
        <w:t xml:space="preserve"> práctica</w:t>
      </w:r>
      <w:r w:rsidRPr="00D81472">
        <w:rPr>
          <w:rFonts w:ascii="Baskerville" w:hAnsi="Baskerville" w:cs="Times New Roman"/>
        </w:rPr>
        <w:t>, creemos que en ninguno de los dos casos se encuentra la Corte, debido a que son jueces comunes y su experiencia es de unos pocos años como para formar un conocimiento acabado</w:t>
      </w:r>
      <w:r w:rsidR="00344570" w:rsidRPr="00D81472">
        <w:rPr>
          <w:rFonts w:ascii="Baskerville" w:hAnsi="Baskerville" w:cs="Times New Roman"/>
        </w:rPr>
        <w:t xml:space="preserve"> a través de la práctica</w:t>
      </w:r>
      <w:r w:rsidRPr="00D81472">
        <w:rPr>
          <w:rFonts w:ascii="Baskerville" w:hAnsi="Baskerville" w:cs="Times New Roman"/>
        </w:rPr>
        <w:t xml:space="preserve">. </w:t>
      </w:r>
    </w:p>
    <w:p w14:paraId="1576CFA5" w14:textId="77777777" w:rsidR="007F3A3E" w:rsidRPr="00D81472" w:rsidRDefault="007F3A3E" w:rsidP="00D81472">
      <w:pPr>
        <w:spacing w:line="276" w:lineRule="auto"/>
        <w:jc w:val="both"/>
        <w:rPr>
          <w:rFonts w:ascii="Baskerville" w:hAnsi="Baskerville" w:cs="Times New Roman"/>
        </w:rPr>
      </w:pPr>
    </w:p>
    <w:p w14:paraId="0B0FB73E" w14:textId="32D81043" w:rsidR="007F3A3E" w:rsidRPr="00D81472" w:rsidRDefault="007F3A3E" w:rsidP="00D81472">
      <w:pPr>
        <w:spacing w:line="276" w:lineRule="auto"/>
        <w:jc w:val="both"/>
        <w:rPr>
          <w:rFonts w:ascii="Baskerville" w:hAnsi="Baskerville" w:cs="Times New Roman"/>
        </w:rPr>
      </w:pPr>
      <w:r w:rsidRPr="00D81472">
        <w:rPr>
          <w:rFonts w:ascii="Baskerville" w:hAnsi="Baskerville" w:cs="Times New Roman"/>
        </w:rPr>
        <w:t xml:space="preserve">De este modo, el paso siguiente es preguntarse ¿cuál es el recurso que debería utilizar un sistema de libre competencia </w:t>
      </w:r>
      <w:r w:rsidR="00344570" w:rsidRPr="00D81472">
        <w:rPr>
          <w:rFonts w:ascii="Baskerville" w:hAnsi="Baskerville" w:cs="Times New Roman"/>
        </w:rPr>
        <w:t>como el chileno? Considerando</w:t>
      </w:r>
      <w:r w:rsidRPr="00D81472">
        <w:rPr>
          <w:rFonts w:ascii="Baskerville" w:hAnsi="Baskerville" w:cs="Times New Roman"/>
        </w:rPr>
        <w:t xml:space="preserve"> que existe un tribunal que,</w:t>
      </w:r>
      <w:r w:rsidR="00344570" w:rsidRPr="00D81472">
        <w:rPr>
          <w:rFonts w:ascii="Baskerville" w:hAnsi="Baskerville" w:cs="Times New Roman"/>
        </w:rPr>
        <w:t xml:space="preserve"> de manera reiterada, implementa</w:t>
      </w:r>
      <w:r w:rsidRPr="00D81472">
        <w:rPr>
          <w:rFonts w:ascii="Baskerville" w:hAnsi="Baskerville" w:cs="Times New Roman"/>
        </w:rPr>
        <w:t xml:space="preserve"> su concepto de política pública a través de sentencias. </w:t>
      </w:r>
    </w:p>
    <w:p w14:paraId="5C855D8D" w14:textId="77777777" w:rsidR="007F3A3E" w:rsidRPr="00D81472" w:rsidRDefault="007F3A3E" w:rsidP="00D81472">
      <w:pPr>
        <w:spacing w:line="276" w:lineRule="auto"/>
        <w:jc w:val="both"/>
        <w:rPr>
          <w:rFonts w:ascii="Baskerville" w:hAnsi="Baskerville" w:cs="Times New Roman"/>
        </w:rPr>
      </w:pPr>
    </w:p>
    <w:p w14:paraId="0377D868" w14:textId="5488B5FF" w:rsidR="007F3A3E" w:rsidRPr="00D81472" w:rsidRDefault="007F3A3E" w:rsidP="00D81472">
      <w:pPr>
        <w:spacing w:line="276" w:lineRule="auto"/>
        <w:jc w:val="both"/>
        <w:rPr>
          <w:rFonts w:ascii="Baskerville" w:hAnsi="Baskerville" w:cs="Times New Roman"/>
        </w:rPr>
      </w:pPr>
      <w:r w:rsidRPr="00D81472">
        <w:rPr>
          <w:rFonts w:ascii="Baskerville" w:hAnsi="Baskerville" w:cs="Times New Roman"/>
        </w:rPr>
        <w:t xml:space="preserve">Instintivamente, la respuesta va dirigida a que el recurso de impugnación de tales sentencia debiese restringir el nivel de conocimiento del tribunal generalista </w:t>
      </w:r>
      <w:r w:rsidR="00994BD1" w:rsidRPr="00D81472">
        <w:rPr>
          <w:rFonts w:ascii="Baskerville" w:hAnsi="Baskerville" w:cs="Times New Roman"/>
        </w:rPr>
        <w:t>encargado de</w:t>
      </w:r>
      <w:r w:rsidRPr="00D81472">
        <w:rPr>
          <w:rFonts w:ascii="Baskerville" w:hAnsi="Baskerville" w:cs="Times New Roman"/>
        </w:rPr>
        <w:t xml:space="preserve"> revisar la sentencia del tribunal especializado. </w:t>
      </w:r>
    </w:p>
    <w:p w14:paraId="1BBAC9D6" w14:textId="77777777" w:rsidR="00994BD1" w:rsidRPr="00D81472" w:rsidRDefault="00994BD1" w:rsidP="00D81472">
      <w:pPr>
        <w:spacing w:line="276" w:lineRule="auto"/>
        <w:jc w:val="both"/>
        <w:rPr>
          <w:rFonts w:ascii="Baskerville" w:hAnsi="Baskerville" w:cs="Times New Roman"/>
        </w:rPr>
      </w:pPr>
    </w:p>
    <w:p w14:paraId="67DDD42E" w14:textId="7260C5AB" w:rsidR="00994BD1" w:rsidRPr="00D81472" w:rsidRDefault="00994BD1" w:rsidP="00D81472">
      <w:pPr>
        <w:spacing w:line="276" w:lineRule="auto"/>
        <w:jc w:val="both"/>
        <w:rPr>
          <w:rFonts w:ascii="Baskerville" w:hAnsi="Baskerville" w:cs="Times New Roman"/>
        </w:rPr>
      </w:pPr>
      <w:r w:rsidRPr="00D81472">
        <w:rPr>
          <w:rFonts w:ascii="Baskerville" w:hAnsi="Baskerville" w:cs="Times New Roman"/>
        </w:rPr>
        <w:t xml:space="preserve">Así es como comienzan a perfilarse dos recurso que restringen la amplitud de conocimiento del tribunal revisor; el recurso de casación y el recurso de nulidad. </w:t>
      </w:r>
    </w:p>
    <w:p w14:paraId="09C1FF03" w14:textId="77777777" w:rsidR="00994BD1" w:rsidRPr="00D81472" w:rsidRDefault="00994BD1" w:rsidP="00D81472">
      <w:pPr>
        <w:spacing w:line="276" w:lineRule="auto"/>
        <w:jc w:val="both"/>
        <w:rPr>
          <w:rFonts w:ascii="Baskerville" w:hAnsi="Baskerville" w:cs="Times New Roman"/>
        </w:rPr>
      </w:pPr>
    </w:p>
    <w:p w14:paraId="058C1814" w14:textId="4A70EE8A" w:rsidR="00994BD1" w:rsidRPr="00D81472" w:rsidRDefault="00994BD1" w:rsidP="00D81472">
      <w:pPr>
        <w:spacing w:line="276" w:lineRule="auto"/>
        <w:jc w:val="both"/>
        <w:rPr>
          <w:rFonts w:ascii="Baskerville" w:hAnsi="Baskerville" w:cs="Times New Roman"/>
        </w:rPr>
      </w:pPr>
      <w:r w:rsidRPr="00D81472">
        <w:rPr>
          <w:rFonts w:ascii="Baskerville" w:hAnsi="Baskerville" w:cs="Times New Roman"/>
        </w:rPr>
        <w:t xml:space="preserve">Particularmente estos recursos fueron planteados en la discusión </w:t>
      </w:r>
      <w:r w:rsidR="008156A8" w:rsidRPr="00D81472">
        <w:rPr>
          <w:rFonts w:ascii="Baskerville" w:hAnsi="Baskerville" w:cs="Times New Roman"/>
        </w:rPr>
        <w:t xml:space="preserve">del proyecto de </w:t>
      </w:r>
      <w:r w:rsidRPr="00D81472">
        <w:rPr>
          <w:rFonts w:ascii="Baskerville" w:hAnsi="Baskerville" w:cs="Times New Roman"/>
        </w:rPr>
        <w:t>ley del 2003 que creó el TDLC. Es interesante analizar los fundamentos de tales propuestas y de las razones esgrimidas para su rechazo, toda vez que, con las reformas del 2016, pierden peso. Este punto lo analizaremos en e</w:t>
      </w:r>
      <w:r w:rsidR="008156A8" w:rsidRPr="00D81472">
        <w:rPr>
          <w:rFonts w:ascii="Baskerville" w:hAnsi="Baskerville" w:cs="Times New Roman"/>
        </w:rPr>
        <w:t xml:space="preserve">l apartado siguiente cuando </w:t>
      </w:r>
      <w:r w:rsidRPr="00D81472">
        <w:rPr>
          <w:rFonts w:ascii="Baskerville" w:hAnsi="Baskerville" w:cs="Times New Roman"/>
        </w:rPr>
        <w:t>analicemos</w:t>
      </w:r>
      <w:r w:rsidR="00344570" w:rsidRPr="00D81472">
        <w:rPr>
          <w:rFonts w:ascii="Baskerville" w:hAnsi="Baskerville" w:cs="Times New Roman"/>
        </w:rPr>
        <w:t xml:space="preserve"> específicamente tales reformas</w:t>
      </w:r>
      <w:r w:rsidRPr="00D81472">
        <w:rPr>
          <w:rFonts w:ascii="Baskerville" w:hAnsi="Baskerville" w:cs="Times New Roman"/>
        </w:rPr>
        <w:t xml:space="preserve">. </w:t>
      </w:r>
    </w:p>
    <w:p w14:paraId="53D2E275" w14:textId="77777777" w:rsidR="00994BD1" w:rsidRPr="00D81472" w:rsidRDefault="00994BD1" w:rsidP="00D81472">
      <w:pPr>
        <w:spacing w:line="276" w:lineRule="auto"/>
        <w:jc w:val="both"/>
        <w:rPr>
          <w:rFonts w:ascii="Baskerville" w:hAnsi="Baskerville" w:cs="Times New Roman"/>
        </w:rPr>
      </w:pPr>
    </w:p>
    <w:p w14:paraId="1A4D68EA" w14:textId="4F108F5F" w:rsidR="00994BD1" w:rsidRPr="00D81472" w:rsidRDefault="00994BD1" w:rsidP="00D81472">
      <w:pPr>
        <w:spacing w:line="276" w:lineRule="auto"/>
        <w:jc w:val="both"/>
        <w:rPr>
          <w:rFonts w:ascii="Baskerville" w:hAnsi="Baskerville" w:cs="Times New Roman"/>
        </w:rPr>
      </w:pPr>
      <w:r w:rsidRPr="00D81472">
        <w:rPr>
          <w:rFonts w:ascii="Baskerville" w:hAnsi="Baskerville" w:cs="Times New Roman"/>
        </w:rPr>
        <w:t>Volviendo a las características de los recursos</w:t>
      </w:r>
      <w:r w:rsidR="00344570" w:rsidRPr="00D81472">
        <w:rPr>
          <w:rFonts w:ascii="Baskerville" w:hAnsi="Baskerville" w:cs="Times New Roman"/>
        </w:rPr>
        <w:t>,</w:t>
      </w:r>
      <w:r w:rsidRPr="00D81472">
        <w:rPr>
          <w:rFonts w:ascii="Baskerville" w:hAnsi="Baskerville" w:cs="Times New Roman"/>
        </w:rPr>
        <w:t xml:space="preserve"> es interesante analizar los argumentos esgrimidos en la tramitación de </w:t>
      </w:r>
      <w:r w:rsidR="00013B81" w:rsidRPr="00D81472">
        <w:rPr>
          <w:rFonts w:ascii="Baskerville" w:hAnsi="Baskerville" w:cs="Times New Roman"/>
        </w:rPr>
        <w:t>aquel proyecto de ley</w:t>
      </w:r>
      <w:r w:rsidRPr="00D81472">
        <w:rPr>
          <w:rFonts w:ascii="Baskerville" w:hAnsi="Baskerville" w:cs="Times New Roman"/>
        </w:rPr>
        <w:t>.</w:t>
      </w:r>
      <w:r w:rsidR="00F145F6" w:rsidRPr="00D81472">
        <w:rPr>
          <w:rFonts w:ascii="Baskerville" w:hAnsi="Baskerville" w:cs="Times New Roman"/>
        </w:rPr>
        <w:t xml:space="preserve"> </w:t>
      </w:r>
    </w:p>
    <w:p w14:paraId="545AE747" w14:textId="77777777" w:rsidR="00F145F6" w:rsidRPr="00D81472" w:rsidRDefault="00F145F6" w:rsidP="00D81472">
      <w:pPr>
        <w:spacing w:line="276" w:lineRule="auto"/>
        <w:jc w:val="both"/>
        <w:rPr>
          <w:rFonts w:ascii="Baskerville" w:hAnsi="Baskerville" w:cs="Times New Roman"/>
        </w:rPr>
      </w:pPr>
    </w:p>
    <w:p w14:paraId="2192F01A" w14:textId="5B93B587" w:rsidR="00F145F6" w:rsidRPr="00D81472" w:rsidRDefault="00F145F6" w:rsidP="00D81472">
      <w:pPr>
        <w:spacing w:line="276" w:lineRule="auto"/>
        <w:jc w:val="both"/>
        <w:rPr>
          <w:rFonts w:ascii="Baskerville" w:hAnsi="Baskerville" w:cs="Times New Roman"/>
        </w:rPr>
      </w:pPr>
      <w:r w:rsidRPr="00D81472">
        <w:rPr>
          <w:rFonts w:ascii="Baskerville" w:hAnsi="Baskerville" w:cs="Times New Roman"/>
        </w:rPr>
        <w:t xml:space="preserve">El proyecto enviado por el ejecutivo </w:t>
      </w:r>
      <w:r w:rsidR="00013B81" w:rsidRPr="00D81472">
        <w:rPr>
          <w:rFonts w:ascii="Baskerville" w:hAnsi="Baskerville" w:cs="Times New Roman"/>
        </w:rPr>
        <w:t>es el que</w:t>
      </w:r>
      <w:r w:rsidRPr="00D81472">
        <w:rPr>
          <w:rFonts w:ascii="Baskerville" w:hAnsi="Baskerville" w:cs="Times New Roman"/>
        </w:rPr>
        <w:t xml:space="preserve"> </w:t>
      </w:r>
      <w:r w:rsidR="008960BD" w:rsidRPr="00D81472">
        <w:rPr>
          <w:rFonts w:ascii="Baskerville" w:hAnsi="Baskerville" w:cs="Times New Roman"/>
        </w:rPr>
        <w:t>primero incorpora</w:t>
      </w:r>
      <w:r w:rsidRPr="00D81472">
        <w:rPr>
          <w:rFonts w:ascii="Baskerville" w:hAnsi="Baskerville" w:cs="Times New Roman"/>
        </w:rPr>
        <w:t xml:space="preserve"> el denominado </w:t>
      </w:r>
      <w:r w:rsidRPr="00D81472">
        <w:rPr>
          <w:rFonts w:ascii="Baskerville" w:hAnsi="Baskerville" w:cs="Times New Roman"/>
          <w:i/>
        </w:rPr>
        <w:t>“recurso de reclamación”,</w:t>
      </w:r>
      <w:r w:rsidRPr="00D81472">
        <w:rPr>
          <w:rFonts w:ascii="Baskerville" w:hAnsi="Baskerville" w:cs="Times New Roman"/>
        </w:rPr>
        <w:t xml:space="preserve"> sin embargo</w:t>
      </w:r>
      <w:r w:rsidR="008960BD" w:rsidRPr="00D81472">
        <w:rPr>
          <w:rFonts w:ascii="Baskerville" w:hAnsi="Baskerville" w:cs="Times New Roman"/>
        </w:rPr>
        <w:t>,</w:t>
      </w:r>
      <w:r w:rsidRPr="00D81472">
        <w:rPr>
          <w:rFonts w:ascii="Baskerville" w:hAnsi="Baskerville" w:cs="Times New Roman"/>
        </w:rPr>
        <w:t xml:space="preserve"> en su primer trámite constitucional en el Senado</w:t>
      </w:r>
      <w:r w:rsidR="008960BD" w:rsidRPr="00D81472">
        <w:rPr>
          <w:rFonts w:ascii="Baskerville" w:hAnsi="Baskerville" w:cs="Times New Roman"/>
        </w:rPr>
        <w:t>,</w:t>
      </w:r>
      <w:r w:rsidRPr="00D81472">
        <w:rPr>
          <w:rFonts w:ascii="Baskerville" w:hAnsi="Baskerville" w:cs="Times New Roman"/>
        </w:rPr>
        <w:t xml:space="preserve"> </w:t>
      </w:r>
      <w:r w:rsidR="00013B81" w:rsidRPr="00D81472">
        <w:rPr>
          <w:rFonts w:ascii="Baskerville" w:hAnsi="Baskerville" w:cs="Times New Roman"/>
        </w:rPr>
        <w:t xml:space="preserve">es en </w:t>
      </w:r>
      <w:r w:rsidRPr="00D81472">
        <w:rPr>
          <w:rFonts w:ascii="Baskerville" w:hAnsi="Baskerville" w:cs="Times New Roman"/>
        </w:rPr>
        <w:t xml:space="preserve">donde </w:t>
      </w:r>
      <w:r w:rsidR="00013B81" w:rsidRPr="00D81472">
        <w:rPr>
          <w:rFonts w:ascii="Baskerville" w:hAnsi="Baskerville" w:cs="Times New Roman"/>
        </w:rPr>
        <w:t xml:space="preserve">se comienza a </w:t>
      </w:r>
      <w:r w:rsidRPr="00D81472">
        <w:rPr>
          <w:rFonts w:ascii="Baskerville" w:hAnsi="Baskerville" w:cs="Times New Roman"/>
        </w:rPr>
        <w:t xml:space="preserve">manifestar </w:t>
      </w:r>
      <w:r w:rsidR="008960BD" w:rsidRPr="00D81472">
        <w:rPr>
          <w:rFonts w:ascii="Baskerville" w:hAnsi="Baskerville" w:cs="Times New Roman"/>
        </w:rPr>
        <w:t xml:space="preserve">lo errado </w:t>
      </w:r>
      <w:r w:rsidR="008156A8" w:rsidRPr="00D81472">
        <w:rPr>
          <w:rFonts w:ascii="Baskerville" w:hAnsi="Baskerville" w:cs="Times New Roman"/>
        </w:rPr>
        <w:t xml:space="preserve">que pudiese resultar </w:t>
      </w:r>
      <w:r w:rsidR="008960BD" w:rsidRPr="00D81472">
        <w:rPr>
          <w:rFonts w:ascii="Baskerville" w:hAnsi="Baskerville" w:cs="Times New Roman"/>
        </w:rPr>
        <w:t>tal planteamiento.</w:t>
      </w:r>
      <w:r w:rsidRPr="00D81472">
        <w:rPr>
          <w:rFonts w:ascii="Baskerville" w:hAnsi="Baskerville" w:cs="Times New Roman"/>
        </w:rPr>
        <w:t xml:space="preserve"> Así</w:t>
      </w:r>
      <w:r w:rsidR="008960BD" w:rsidRPr="00D81472">
        <w:rPr>
          <w:rFonts w:ascii="Baskerville" w:hAnsi="Baskerville" w:cs="Times New Roman"/>
        </w:rPr>
        <w:t>,</w:t>
      </w:r>
      <w:r w:rsidRPr="00D81472">
        <w:rPr>
          <w:rFonts w:ascii="Baskerville" w:hAnsi="Baskerville" w:cs="Times New Roman"/>
        </w:rPr>
        <w:t xml:space="preserve"> el Senador Parra explicó que la enmienda que propone</w:t>
      </w:r>
      <w:r w:rsidR="00344570" w:rsidRPr="00D81472">
        <w:rPr>
          <w:rFonts w:ascii="Baskerville" w:hAnsi="Baskerville" w:cs="Times New Roman"/>
        </w:rPr>
        <w:t xml:space="preserve"> [</w:t>
      </w:r>
      <w:r w:rsidR="00013B81" w:rsidRPr="00D81472">
        <w:rPr>
          <w:rFonts w:ascii="Baskerville" w:hAnsi="Baskerville" w:cs="Times New Roman"/>
        </w:rPr>
        <w:t>cambiar el recur</w:t>
      </w:r>
      <w:r w:rsidR="00344570" w:rsidRPr="00D81472">
        <w:rPr>
          <w:rFonts w:ascii="Baskerville" w:hAnsi="Baskerville" w:cs="Times New Roman"/>
        </w:rPr>
        <w:t>so de reclamación por apelación]</w:t>
      </w:r>
      <w:r w:rsidRPr="00D81472">
        <w:rPr>
          <w:rFonts w:ascii="Baskerville" w:hAnsi="Baskerville" w:cs="Times New Roman"/>
        </w:rPr>
        <w:t xml:space="preserve"> no es una cuestión de mera denominación del recurso, sino que dice </w:t>
      </w:r>
      <w:r w:rsidR="008156A8" w:rsidRPr="00D81472">
        <w:rPr>
          <w:rFonts w:ascii="Baskerville" w:hAnsi="Baskerville" w:cs="Times New Roman"/>
        </w:rPr>
        <w:t>relación con la naturaleza del t</w:t>
      </w:r>
      <w:r w:rsidRPr="00D81472">
        <w:rPr>
          <w:rFonts w:ascii="Baskerville" w:hAnsi="Baskerville" w:cs="Times New Roman"/>
        </w:rPr>
        <w:t xml:space="preserve">ribunal de que se trata. Este órgano es de naturaleza jurisdiccional y no administrativa, por lo que es necesario </w:t>
      </w:r>
      <w:r w:rsidRPr="00D81472">
        <w:rPr>
          <w:rFonts w:ascii="Baskerville" w:hAnsi="Baskerville" w:cs="Times New Roman"/>
        </w:rPr>
        <w:lastRenderedPageBreak/>
        <w:t>usar con rigor la terminología adecuada, y aquí se está en presencia de un recurso que es la misma apelación que se conoce en el procedimiento ordinario, en que se revisan tanto los hechos como el derecho</w:t>
      </w:r>
      <w:r w:rsidR="00013B81" w:rsidRPr="00D81472">
        <w:rPr>
          <w:rStyle w:val="Refdenotaalpie"/>
          <w:rFonts w:ascii="Baskerville" w:hAnsi="Baskerville" w:cs="Times New Roman"/>
        </w:rPr>
        <w:footnoteReference w:id="12"/>
      </w:r>
      <w:r w:rsidRPr="00D81472">
        <w:rPr>
          <w:rFonts w:ascii="Baskerville" w:hAnsi="Baskerville" w:cs="Times New Roman"/>
        </w:rPr>
        <w:t xml:space="preserve">. </w:t>
      </w:r>
      <w:r w:rsidR="008960BD" w:rsidRPr="00D81472">
        <w:rPr>
          <w:rFonts w:ascii="Baskerville" w:hAnsi="Baskerville" w:cs="Times New Roman"/>
        </w:rPr>
        <w:t xml:space="preserve"> </w:t>
      </w:r>
    </w:p>
    <w:p w14:paraId="7EA1AA7B" w14:textId="77777777" w:rsidR="008960BD" w:rsidRPr="00D81472" w:rsidRDefault="008960BD" w:rsidP="00D81472">
      <w:pPr>
        <w:spacing w:line="276" w:lineRule="auto"/>
        <w:jc w:val="both"/>
        <w:rPr>
          <w:rFonts w:ascii="Baskerville" w:hAnsi="Baskerville" w:cs="Times New Roman"/>
        </w:rPr>
      </w:pPr>
    </w:p>
    <w:p w14:paraId="3DF0DFB1" w14:textId="41E95D64" w:rsidR="008960BD" w:rsidRPr="00D81472" w:rsidRDefault="008960BD" w:rsidP="00D81472">
      <w:pPr>
        <w:spacing w:line="276" w:lineRule="auto"/>
        <w:jc w:val="both"/>
        <w:rPr>
          <w:rFonts w:ascii="Baskerville" w:hAnsi="Baskerville" w:cs="Times New Roman"/>
        </w:rPr>
      </w:pPr>
      <w:r w:rsidRPr="00D81472">
        <w:rPr>
          <w:rFonts w:ascii="Baskerville" w:hAnsi="Baskerville" w:cs="Times New Roman"/>
        </w:rPr>
        <w:t xml:space="preserve">Luego, en su segundo trámite constitucional </w:t>
      </w:r>
      <w:r w:rsidR="00344570" w:rsidRPr="00D81472">
        <w:rPr>
          <w:rFonts w:ascii="Baskerville" w:hAnsi="Baskerville" w:cs="Times New Roman"/>
        </w:rPr>
        <w:t>s</w:t>
      </w:r>
      <w:r w:rsidRPr="00D81472">
        <w:rPr>
          <w:rFonts w:ascii="Baskerville" w:hAnsi="Baskerville" w:cs="Times New Roman"/>
        </w:rPr>
        <w:t>e acogió por unanimidad la siguiente indicación del Ejecutivo para anteponer al inciso segundo el siguiente párrafo</w:t>
      </w:r>
      <w:r w:rsidR="00344570" w:rsidRPr="00D81472">
        <w:rPr>
          <w:rFonts w:ascii="Baskerville" w:hAnsi="Baskerville" w:cs="Times New Roman"/>
        </w:rPr>
        <w:t>:</w:t>
      </w:r>
      <w:r w:rsidRPr="00D81472">
        <w:rPr>
          <w:rFonts w:ascii="Baskerville" w:hAnsi="Baskerville" w:cs="Times New Roman"/>
        </w:rPr>
        <w:t xml:space="preserve"> “La sentencia definitiva sólo será impugnable mediante un</w:t>
      </w:r>
      <w:r w:rsidRPr="00D81472">
        <w:rPr>
          <w:rFonts w:ascii="Baskerville" w:hAnsi="Baskerville" w:cs="Times New Roman"/>
          <w:b/>
        </w:rPr>
        <w:t xml:space="preserve"> </w:t>
      </w:r>
      <w:r w:rsidRPr="00D81472">
        <w:rPr>
          <w:rFonts w:ascii="Baskerville" w:hAnsi="Baskerville" w:cs="Times New Roman"/>
          <w:b/>
          <w:i/>
        </w:rPr>
        <w:t>recurso de nulidad</w:t>
      </w:r>
      <w:r w:rsidRPr="00D81472">
        <w:rPr>
          <w:rFonts w:ascii="Baskerville" w:hAnsi="Baskerville" w:cs="Times New Roman"/>
        </w:rPr>
        <w:t xml:space="preserve">, para ante la Corte Suprema que </w:t>
      </w:r>
      <w:r w:rsidRPr="00D81472">
        <w:rPr>
          <w:rFonts w:ascii="Baskerville" w:hAnsi="Baskerville" w:cs="Times New Roman"/>
          <w:i/>
        </w:rPr>
        <w:t>procederá por aplicación errónea del derecho, de manera que hubiese influido en forma sustancial en la parte dispositiva del fallo</w:t>
      </w:r>
      <w:r w:rsidRPr="00D81472">
        <w:rPr>
          <w:rFonts w:ascii="Baskerville" w:hAnsi="Baskerville" w:cs="Times New Roman"/>
        </w:rPr>
        <w:t xml:space="preserve">”. </w:t>
      </w:r>
    </w:p>
    <w:p w14:paraId="48ECB788" w14:textId="77777777" w:rsidR="008960BD" w:rsidRPr="00D81472" w:rsidRDefault="008960BD" w:rsidP="00D81472">
      <w:pPr>
        <w:spacing w:line="276" w:lineRule="auto"/>
        <w:jc w:val="both"/>
        <w:rPr>
          <w:rFonts w:ascii="Baskerville" w:hAnsi="Baskerville" w:cs="Times New Roman"/>
        </w:rPr>
      </w:pPr>
    </w:p>
    <w:p w14:paraId="7473CE73" w14:textId="413DA73A" w:rsidR="008960BD" w:rsidRPr="00D81472" w:rsidRDefault="008960BD" w:rsidP="00D81472">
      <w:pPr>
        <w:spacing w:line="276" w:lineRule="auto"/>
        <w:jc w:val="both"/>
        <w:rPr>
          <w:rFonts w:ascii="Baskerville" w:hAnsi="Baskerville" w:cs="Times New Roman"/>
        </w:rPr>
      </w:pPr>
      <w:r w:rsidRPr="00D81472">
        <w:rPr>
          <w:rFonts w:ascii="Baskerville" w:hAnsi="Baskerville" w:cs="Times New Roman"/>
        </w:rPr>
        <w:t>De este modo se llegó al tercer trámite constitucional</w:t>
      </w:r>
      <w:r w:rsidR="008156A8" w:rsidRPr="00D81472">
        <w:rPr>
          <w:rFonts w:ascii="Baskerville" w:hAnsi="Baskerville" w:cs="Times New Roman"/>
        </w:rPr>
        <w:t>, comisión mixta,</w:t>
      </w:r>
      <w:r w:rsidRPr="00D81472">
        <w:rPr>
          <w:rFonts w:ascii="Baskerville" w:hAnsi="Baskerville" w:cs="Times New Roman"/>
        </w:rPr>
        <w:t xml:space="preserve"> en el cual finalmente se llega al consenso de que será en definitiva el </w:t>
      </w:r>
      <w:r w:rsidRPr="00D81472">
        <w:rPr>
          <w:rFonts w:ascii="Baskerville" w:hAnsi="Baskerville" w:cs="Times New Roman"/>
          <w:i/>
        </w:rPr>
        <w:t>“recurso de reclamación”</w:t>
      </w:r>
      <w:r w:rsidRPr="00D81472">
        <w:rPr>
          <w:rFonts w:ascii="Baskerville" w:hAnsi="Baskerville" w:cs="Times New Roman"/>
        </w:rPr>
        <w:t xml:space="preserve"> el que proceda como medio de impugnación de las sentencias definitivas. </w:t>
      </w:r>
    </w:p>
    <w:p w14:paraId="7CD8EE77" w14:textId="77777777" w:rsidR="008960BD" w:rsidRPr="00D81472" w:rsidRDefault="008960BD" w:rsidP="00D81472">
      <w:pPr>
        <w:spacing w:line="276" w:lineRule="auto"/>
        <w:jc w:val="both"/>
        <w:rPr>
          <w:rFonts w:ascii="Baskerville" w:hAnsi="Baskerville" w:cs="Times New Roman"/>
        </w:rPr>
      </w:pPr>
    </w:p>
    <w:p w14:paraId="525D9EF6" w14:textId="786FFD00" w:rsidR="0075188C" w:rsidRPr="00D81472" w:rsidRDefault="008960BD" w:rsidP="00D81472">
      <w:pPr>
        <w:spacing w:line="276" w:lineRule="auto"/>
        <w:jc w:val="both"/>
        <w:rPr>
          <w:rFonts w:ascii="Baskerville" w:hAnsi="Baskerville" w:cs="Times New Roman"/>
        </w:rPr>
      </w:pPr>
      <w:r w:rsidRPr="00D81472">
        <w:rPr>
          <w:rFonts w:ascii="Baskerville" w:hAnsi="Baskerville" w:cs="Times New Roman"/>
        </w:rPr>
        <w:t>Pero e</w:t>
      </w:r>
      <w:r w:rsidR="0075188C" w:rsidRPr="00D81472">
        <w:rPr>
          <w:rFonts w:ascii="Baskerville" w:hAnsi="Baskerville" w:cs="Times New Roman"/>
        </w:rPr>
        <w:t>xiste un aspecto crucial e</w:t>
      </w:r>
      <w:r w:rsidR="00344570" w:rsidRPr="00D81472">
        <w:rPr>
          <w:rFonts w:ascii="Baskerville" w:hAnsi="Baskerville" w:cs="Times New Roman"/>
        </w:rPr>
        <w:t>l cual puede significar un vuelc</w:t>
      </w:r>
      <w:r w:rsidR="008156A8" w:rsidRPr="00D81472">
        <w:rPr>
          <w:rFonts w:ascii="Baskerville" w:hAnsi="Baskerville" w:cs="Times New Roman"/>
        </w:rPr>
        <w:t>o copernicano analizado</w:t>
      </w:r>
      <w:r w:rsidR="0075188C" w:rsidRPr="00D81472">
        <w:rPr>
          <w:rFonts w:ascii="Baskerville" w:hAnsi="Baskerville" w:cs="Times New Roman"/>
        </w:rPr>
        <w:t xml:space="preserve"> desde la óptica actual </w:t>
      </w:r>
      <w:r w:rsidR="008156A8" w:rsidRPr="00D81472">
        <w:rPr>
          <w:rFonts w:ascii="Baskerville" w:hAnsi="Baskerville" w:cs="Times New Roman"/>
        </w:rPr>
        <w:t>.</w:t>
      </w:r>
    </w:p>
    <w:p w14:paraId="175A25FC" w14:textId="77777777" w:rsidR="008156A8" w:rsidRPr="00D81472" w:rsidRDefault="008156A8" w:rsidP="00D81472">
      <w:pPr>
        <w:spacing w:line="276" w:lineRule="auto"/>
        <w:jc w:val="both"/>
        <w:rPr>
          <w:rFonts w:ascii="Baskerville" w:hAnsi="Baskerville" w:cs="Times New Roman"/>
        </w:rPr>
      </w:pPr>
    </w:p>
    <w:p w14:paraId="2941437E" w14:textId="7AB6A796" w:rsidR="008960BD" w:rsidRPr="00D81472" w:rsidRDefault="0075188C" w:rsidP="00D81472">
      <w:pPr>
        <w:spacing w:line="276" w:lineRule="auto"/>
        <w:jc w:val="both"/>
        <w:rPr>
          <w:rFonts w:ascii="Baskerville" w:hAnsi="Baskerville" w:cs="Times New Roman"/>
        </w:rPr>
      </w:pPr>
      <w:r w:rsidRPr="00D81472">
        <w:rPr>
          <w:rFonts w:ascii="Baskerville" w:hAnsi="Baskerville" w:cs="Times New Roman"/>
        </w:rPr>
        <w:t xml:space="preserve">El Fiscal Nacional Económico de la época, don Pedro Mattar, señala los siguientes argumentos para defender el recurso de reclamación:  (i) el recurso se ha denominado reclamación por más de treinta años, y que así ha funcionado de forma eficiente; </w:t>
      </w:r>
      <w:r w:rsidRPr="00D81472">
        <w:rPr>
          <w:rFonts w:ascii="Baskerville" w:hAnsi="Baskerville" w:cs="Times New Roman"/>
          <w:i/>
          <w:u w:val="single"/>
        </w:rPr>
        <w:t>(ii) es un recurso extraordinario y especialísimo</w:t>
      </w:r>
      <w:r w:rsidRPr="00D81472">
        <w:rPr>
          <w:rFonts w:ascii="Baskerville" w:hAnsi="Baskerville" w:cs="Times New Roman"/>
        </w:rPr>
        <w:t xml:space="preserve">; (iii) </w:t>
      </w:r>
      <w:r w:rsidRPr="00D81472">
        <w:rPr>
          <w:rFonts w:ascii="Baskerville" w:hAnsi="Baskerville" w:cs="Times New Roman"/>
          <w:i/>
          <w:u w:val="single"/>
        </w:rPr>
        <w:t xml:space="preserve">la modificación a recurso de apelación por parte del Senado sólo correspondió a una cuestión de denominación y que la posterior modificación a recurso de nulidad no era la adecuada, pues sólo permitiría la revisión judicial ante una errónea aplicación del derecho, dejando de lado la revisión de cuestiones económicas </w:t>
      </w:r>
      <w:r w:rsidRPr="00D81472">
        <w:rPr>
          <w:rFonts w:ascii="Baskerville" w:hAnsi="Baskerville" w:cs="Times New Roman"/>
          <w:b/>
          <w:i/>
          <w:u w:val="single"/>
        </w:rPr>
        <w:t>(como el monto de las multas)</w:t>
      </w:r>
      <w:r w:rsidRPr="00D81472">
        <w:rPr>
          <w:rFonts w:ascii="Baskerville" w:hAnsi="Baskerville" w:cs="Times New Roman"/>
          <w:b/>
        </w:rPr>
        <w:t xml:space="preserve">; </w:t>
      </w:r>
      <w:r w:rsidRPr="00D81472">
        <w:rPr>
          <w:rFonts w:ascii="Baskerville" w:hAnsi="Baskerville" w:cs="Times New Roman"/>
        </w:rPr>
        <w:t xml:space="preserve">y (iv) </w:t>
      </w:r>
      <w:r w:rsidRPr="00D81472">
        <w:rPr>
          <w:rFonts w:ascii="Baskerville" w:hAnsi="Baskerville" w:cs="Times New Roman"/>
          <w:b/>
          <w:i/>
          <w:u w:val="single"/>
        </w:rPr>
        <w:t>que el recurso de reclamación se encuentra suficientemente acotado</w:t>
      </w:r>
      <w:r w:rsidRPr="00D81472">
        <w:rPr>
          <w:rStyle w:val="Refdenotaalpie"/>
          <w:rFonts w:ascii="Baskerville" w:hAnsi="Baskerville" w:cs="Times New Roman"/>
        </w:rPr>
        <w:footnoteReference w:id="13"/>
      </w:r>
      <w:r w:rsidRPr="00D81472">
        <w:rPr>
          <w:rFonts w:ascii="Baskerville" w:hAnsi="Baskerville" w:cs="Times New Roman"/>
        </w:rPr>
        <w:t xml:space="preserve">. </w:t>
      </w:r>
    </w:p>
    <w:p w14:paraId="78927096" w14:textId="77777777" w:rsidR="0075188C" w:rsidRPr="00D81472" w:rsidRDefault="0075188C" w:rsidP="00D81472">
      <w:pPr>
        <w:spacing w:line="276" w:lineRule="auto"/>
        <w:jc w:val="both"/>
        <w:rPr>
          <w:rFonts w:ascii="Baskerville" w:hAnsi="Baskerville" w:cs="Times New Roman"/>
        </w:rPr>
      </w:pPr>
    </w:p>
    <w:p w14:paraId="10191FB6" w14:textId="6471DF36" w:rsidR="0075188C" w:rsidRPr="00D81472" w:rsidRDefault="0075188C" w:rsidP="00D81472">
      <w:pPr>
        <w:spacing w:line="276" w:lineRule="auto"/>
        <w:jc w:val="both"/>
        <w:rPr>
          <w:rFonts w:ascii="Baskerville" w:hAnsi="Baskerville" w:cs="Times New Roman"/>
        </w:rPr>
      </w:pPr>
      <w:r w:rsidRPr="00D81472">
        <w:rPr>
          <w:rFonts w:ascii="Baskerville" w:hAnsi="Baskerville" w:cs="Times New Roman"/>
        </w:rPr>
        <w:t xml:space="preserve">Del párrafo anterior es posible darse cuenta que el argumento </w:t>
      </w:r>
      <w:r w:rsidR="00344570" w:rsidRPr="00D81472">
        <w:rPr>
          <w:rFonts w:ascii="Baskerville" w:hAnsi="Baskerville" w:cs="Times New Roman"/>
        </w:rPr>
        <w:t>principal</w:t>
      </w:r>
      <w:r w:rsidRPr="00D81472">
        <w:rPr>
          <w:rFonts w:ascii="Baskerville" w:hAnsi="Baskerville" w:cs="Times New Roman"/>
        </w:rPr>
        <w:t>, y esto es lo importante, es que existe un miedo a que se produzcan arbitrariedades en el proc</w:t>
      </w:r>
      <w:r w:rsidR="008156A8" w:rsidRPr="00D81472">
        <w:rPr>
          <w:rFonts w:ascii="Baskerville" w:hAnsi="Baskerville" w:cs="Times New Roman"/>
        </w:rPr>
        <w:t>edimiento de primera instancia, sobre todo</w:t>
      </w:r>
      <w:r w:rsidRPr="00D81472">
        <w:rPr>
          <w:rFonts w:ascii="Baskerville" w:hAnsi="Baskerville" w:cs="Times New Roman"/>
        </w:rPr>
        <w:t xml:space="preserve"> en el establecimiento de multas abusivas. Y es precisamente por este miedo</w:t>
      </w:r>
      <w:r w:rsidR="00344570" w:rsidRPr="00D81472">
        <w:rPr>
          <w:rFonts w:ascii="Baskerville" w:hAnsi="Baskerville" w:cs="Times New Roman"/>
        </w:rPr>
        <w:t>,</w:t>
      </w:r>
      <w:r w:rsidRPr="00D81472">
        <w:rPr>
          <w:rFonts w:ascii="Baskerville" w:hAnsi="Baskerville" w:cs="Times New Roman"/>
        </w:rPr>
        <w:t xml:space="preserve"> que no fuera posible revisar </w:t>
      </w:r>
      <w:r w:rsidR="00403EB0" w:rsidRPr="00D81472">
        <w:rPr>
          <w:rFonts w:ascii="Baskerville" w:hAnsi="Baskerville" w:cs="Times New Roman"/>
        </w:rPr>
        <w:t xml:space="preserve">tales </w:t>
      </w:r>
      <w:r w:rsidRPr="00D81472">
        <w:rPr>
          <w:rFonts w:ascii="Baskerville" w:hAnsi="Baskerville" w:cs="Times New Roman"/>
        </w:rPr>
        <w:t>cuestiones</w:t>
      </w:r>
      <w:r w:rsidR="00344570" w:rsidRPr="00D81472">
        <w:rPr>
          <w:rFonts w:ascii="Baskerville" w:hAnsi="Baskerville" w:cs="Times New Roman"/>
        </w:rPr>
        <w:t>,</w:t>
      </w:r>
      <w:r w:rsidR="00403EB0" w:rsidRPr="00D81472">
        <w:rPr>
          <w:rFonts w:ascii="Baskerville" w:hAnsi="Baskerville" w:cs="Times New Roman"/>
        </w:rPr>
        <w:t xml:space="preserve"> es </w:t>
      </w:r>
      <w:r w:rsidRPr="00D81472">
        <w:rPr>
          <w:rFonts w:ascii="Baskerville" w:hAnsi="Baskerville" w:cs="Times New Roman"/>
        </w:rPr>
        <w:t>que el recurso finalmente se amplió  y la Corte Supr</w:t>
      </w:r>
      <w:r w:rsidR="00403EB0" w:rsidRPr="00D81472">
        <w:rPr>
          <w:rFonts w:ascii="Baskerville" w:hAnsi="Baskerville" w:cs="Times New Roman"/>
        </w:rPr>
        <w:t>ema puede</w:t>
      </w:r>
      <w:r w:rsidR="008156A8" w:rsidRPr="00D81472">
        <w:rPr>
          <w:rFonts w:ascii="Baskerville" w:hAnsi="Baskerville" w:cs="Times New Roman"/>
        </w:rPr>
        <w:t>,</w:t>
      </w:r>
      <w:r w:rsidRPr="00D81472">
        <w:rPr>
          <w:rFonts w:ascii="Baskerville" w:hAnsi="Baskerville" w:cs="Times New Roman"/>
        </w:rPr>
        <w:t xml:space="preserve"> </w:t>
      </w:r>
      <w:r w:rsidR="00344570" w:rsidRPr="00D81472">
        <w:rPr>
          <w:rFonts w:ascii="Baskerville" w:hAnsi="Baskerville" w:cs="Times New Roman"/>
        </w:rPr>
        <w:t xml:space="preserve">en la </w:t>
      </w:r>
      <w:r w:rsidR="00344570" w:rsidRPr="00D81472">
        <w:rPr>
          <w:rFonts w:ascii="Baskerville" w:hAnsi="Baskerville" w:cs="Times New Roman"/>
        </w:rPr>
        <w:lastRenderedPageBreak/>
        <w:t>actualidad</w:t>
      </w:r>
      <w:r w:rsidR="008156A8" w:rsidRPr="00D81472">
        <w:rPr>
          <w:rFonts w:ascii="Baskerville" w:hAnsi="Baskerville" w:cs="Times New Roman"/>
        </w:rPr>
        <w:t>,</w:t>
      </w:r>
      <w:r w:rsidR="00344570" w:rsidRPr="00D81472">
        <w:rPr>
          <w:rFonts w:ascii="Baskerville" w:hAnsi="Baskerville" w:cs="Times New Roman"/>
        </w:rPr>
        <w:t xml:space="preserve"> </w:t>
      </w:r>
      <w:r w:rsidRPr="00D81472">
        <w:rPr>
          <w:rFonts w:ascii="Baskerville" w:hAnsi="Baskerville" w:cs="Times New Roman"/>
        </w:rPr>
        <w:t>conocer de los argumentos de hecho y de derecho</w:t>
      </w:r>
      <w:r w:rsidR="00403EB0" w:rsidRPr="00D81472">
        <w:rPr>
          <w:rFonts w:ascii="Baskerville" w:hAnsi="Baskerville" w:cs="Times New Roman"/>
        </w:rPr>
        <w:t xml:space="preserve"> que fundan las sentencias del TDLC</w:t>
      </w:r>
      <w:r w:rsidRPr="00D81472">
        <w:rPr>
          <w:rFonts w:ascii="Baskerville" w:hAnsi="Baskerville" w:cs="Times New Roman"/>
        </w:rPr>
        <w:t xml:space="preserve">. </w:t>
      </w:r>
    </w:p>
    <w:p w14:paraId="7B94A156" w14:textId="77777777" w:rsidR="0075188C" w:rsidRPr="00D81472" w:rsidRDefault="0075188C" w:rsidP="00D81472">
      <w:pPr>
        <w:spacing w:line="276" w:lineRule="auto"/>
        <w:jc w:val="both"/>
        <w:rPr>
          <w:rFonts w:ascii="Baskerville" w:hAnsi="Baskerville" w:cs="Times New Roman"/>
        </w:rPr>
      </w:pPr>
    </w:p>
    <w:p w14:paraId="70551C69" w14:textId="79443966" w:rsidR="00833B68" w:rsidRPr="00D81472" w:rsidRDefault="0075188C" w:rsidP="00D81472">
      <w:pPr>
        <w:spacing w:line="276" w:lineRule="auto"/>
        <w:jc w:val="both"/>
        <w:rPr>
          <w:rFonts w:ascii="Baskerville" w:hAnsi="Baskerville" w:cs="Times New Roman"/>
        </w:rPr>
      </w:pPr>
      <w:r w:rsidRPr="00D81472">
        <w:rPr>
          <w:rFonts w:ascii="Baskerville" w:hAnsi="Baskerville" w:cs="Times New Roman"/>
        </w:rPr>
        <w:t>Este argumento es plausible hasta el año 2016, momento en el cual, producto de las reformas</w:t>
      </w:r>
      <w:r w:rsidR="007E1ED7" w:rsidRPr="00D81472">
        <w:rPr>
          <w:rFonts w:ascii="Baskerville" w:hAnsi="Baskerville" w:cs="Times New Roman"/>
        </w:rPr>
        <w:t xml:space="preserve"> que se ingresaron al sistema</w:t>
      </w:r>
      <w:r w:rsidRPr="00D81472">
        <w:rPr>
          <w:rFonts w:ascii="Baskerville" w:hAnsi="Baskerville" w:cs="Times New Roman"/>
        </w:rPr>
        <w:t xml:space="preserve">, las multas a las infracciones a la Libre Competencia están determinadas </w:t>
      </w:r>
      <w:r w:rsidR="00403EB0" w:rsidRPr="00D81472">
        <w:rPr>
          <w:rFonts w:ascii="Baskerville" w:hAnsi="Baskerville" w:cs="Times New Roman"/>
        </w:rPr>
        <w:t>manera taxativa</w:t>
      </w:r>
      <w:r w:rsidR="00A80AEE" w:rsidRPr="00D81472">
        <w:rPr>
          <w:rFonts w:ascii="Baskerville" w:hAnsi="Baskerville" w:cs="Times New Roman"/>
        </w:rPr>
        <w:t xml:space="preserve"> y por ley</w:t>
      </w:r>
      <w:r w:rsidR="00403EB0" w:rsidRPr="00D81472">
        <w:rPr>
          <w:rFonts w:ascii="Baskerville" w:hAnsi="Baskerville" w:cs="Times New Roman"/>
        </w:rPr>
        <w:t>, como veremos a continuación.</w:t>
      </w:r>
    </w:p>
    <w:p w14:paraId="0C2FE26E" w14:textId="77777777" w:rsidR="00833B68" w:rsidRPr="00D81472" w:rsidRDefault="00833B68" w:rsidP="00D81472">
      <w:pPr>
        <w:spacing w:line="276" w:lineRule="auto"/>
        <w:jc w:val="both"/>
        <w:rPr>
          <w:rFonts w:ascii="Baskerville" w:hAnsi="Baskerville" w:cs="Times New Roman"/>
        </w:rPr>
      </w:pPr>
    </w:p>
    <w:p w14:paraId="61CD54C5" w14:textId="71CA132B" w:rsidR="002608EE" w:rsidRPr="00D81472" w:rsidRDefault="002608EE" w:rsidP="00D81472">
      <w:pPr>
        <w:spacing w:line="276" w:lineRule="auto"/>
        <w:jc w:val="both"/>
        <w:rPr>
          <w:rFonts w:ascii="Baskerville" w:hAnsi="Baskerville" w:cs="Times New Roman"/>
          <w:b/>
          <w:u w:val="single"/>
        </w:rPr>
      </w:pPr>
      <w:r w:rsidRPr="00D81472">
        <w:rPr>
          <w:rFonts w:ascii="Baskerville" w:hAnsi="Baskerville" w:cs="Times New Roman"/>
          <w:b/>
          <w:u w:val="single"/>
        </w:rPr>
        <w:t xml:space="preserve">Reformas introducidas el 2016 al sistema de Libre Competencia. </w:t>
      </w:r>
    </w:p>
    <w:p w14:paraId="495AF15E" w14:textId="77777777" w:rsidR="00A80AEE" w:rsidRPr="00D81472" w:rsidRDefault="00A80AEE" w:rsidP="00D81472">
      <w:pPr>
        <w:spacing w:line="276" w:lineRule="auto"/>
        <w:jc w:val="both"/>
        <w:rPr>
          <w:rFonts w:ascii="Baskerville" w:hAnsi="Baskerville" w:cs="Times New Roman"/>
        </w:rPr>
      </w:pPr>
    </w:p>
    <w:p w14:paraId="734C32CD" w14:textId="5F54099D" w:rsidR="00201CA3" w:rsidRPr="00D81472" w:rsidRDefault="00A80AEE" w:rsidP="00D81472">
      <w:pPr>
        <w:spacing w:line="276" w:lineRule="auto"/>
        <w:jc w:val="both"/>
        <w:rPr>
          <w:rFonts w:ascii="Baskerville" w:hAnsi="Baskerville" w:cs="Times New Roman"/>
        </w:rPr>
      </w:pPr>
      <w:r w:rsidRPr="00D81472">
        <w:rPr>
          <w:rFonts w:ascii="Baskerville" w:hAnsi="Baskerville" w:cs="Times New Roman"/>
        </w:rPr>
        <w:t xml:space="preserve">Como analizamos en el punto anterior, al momento de </w:t>
      </w:r>
      <w:r w:rsidR="00201CA3" w:rsidRPr="00D81472">
        <w:rPr>
          <w:rFonts w:ascii="Baskerville" w:hAnsi="Baskerville" w:cs="Times New Roman"/>
        </w:rPr>
        <w:t>tramitar la conveniencia</w:t>
      </w:r>
      <w:r w:rsidRPr="00D81472">
        <w:rPr>
          <w:rFonts w:ascii="Baskerville" w:hAnsi="Baskerville" w:cs="Times New Roman"/>
        </w:rPr>
        <w:t xml:space="preserve"> </w:t>
      </w:r>
      <w:r w:rsidR="00201CA3" w:rsidRPr="00D81472">
        <w:rPr>
          <w:rFonts w:ascii="Baskerville" w:hAnsi="Baskerville" w:cs="Times New Roman"/>
        </w:rPr>
        <w:t>d</w:t>
      </w:r>
      <w:r w:rsidR="009E03ED" w:rsidRPr="00D81472">
        <w:rPr>
          <w:rFonts w:ascii="Baskerville" w:hAnsi="Baskerville" w:cs="Times New Roman"/>
        </w:rPr>
        <w:t>el recurso que rige</w:t>
      </w:r>
      <w:r w:rsidRPr="00D81472">
        <w:rPr>
          <w:rFonts w:ascii="Baskerville" w:hAnsi="Baskerville" w:cs="Times New Roman"/>
        </w:rPr>
        <w:t xml:space="preserve"> nuestra legislación sobre Libre Competencia</w:t>
      </w:r>
      <w:r w:rsidR="007B7421" w:rsidRPr="00D81472">
        <w:rPr>
          <w:rFonts w:ascii="Baskerville" w:hAnsi="Baskerville" w:cs="Times New Roman"/>
        </w:rPr>
        <w:t>,</w:t>
      </w:r>
      <w:r w:rsidRPr="00D81472">
        <w:rPr>
          <w:rFonts w:ascii="Baskerville" w:hAnsi="Baskerville" w:cs="Times New Roman"/>
        </w:rPr>
        <w:t xml:space="preserve"> las condiciones</w:t>
      </w:r>
      <w:r w:rsidR="00D524FE" w:rsidRPr="00D81472">
        <w:rPr>
          <w:rFonts w:ascii="Baskerville" w:hAnsi="Baskerville" w:cs="Times New Roman"/>
        </w:rPr>
        <w:t xml:space="preserve"> legales eran diferentes. </w:t>
      </w:r>
      <w:r w:rsidR="009E03ED" w:rsidRPr="00D81472">
        <w:rPr>
          <w:rFonts w:ascii="Baskerville" w:hAnsi="Baskerville" w:cs="Times New Roman"/>
        </w:rPr>
        <w:t>En aquella época</w:t>
      </w:r>
      <w:r w:rsidR="00D524FE" w:rsidRPr="00D81472">
        <w:rPr>
          <w:rFonts w:ascii="Baskerville" w:hAnsi="Baskerville" w:cs="Times New Roman"/>
        </w:rPr>
        <w:t xml:space="preserve"> era plausible</w:t>
      </w:r>
      <w:r w:rsidRPr="00D81472">
        <w:rPr>
          <w:rFonts w:ascii="Baskerville" w:hAnsi="Baskerville" w:cs="Times New Roman"/>
        </w:rPr>
        <w:t xml:space="preserve"> </w:t>
      </w:r>
      <w:r w:rsidR="008156A8" w:rsidRPr="00D81472">
        <w:rPr>
          <w:rFonts w:ascii="Baskerville" w:hAnsi="Baskerville" w:cs="Times New Roman"/>
        </w:rPr>
        <w:t>sostener</w:t>
      </w:r>
      <w:r w:rsidRPr="00D81472">
        <w:rPr>
          <w:rFonts w:ascii="Baskerville" w:hAnsi="Baskerville" w:cs="Times New Roman"/>
        </w:rPr>
        <w:t xml:space="preserve"> el argumento del Fiscal Nacional Económico </w:t>
      </w:r>
      <w:r w:rsidR="009E03ED" w:rsidRPr="00D81472">
        <w:rPr>
          <w:rFonts w:ascii="Baskerville" w:hAnsi="Baskerville" w:cs="Times New Roman"/>
        </w:rPr>
        <w:t>en el sentido de que se consideraba</w:t>
      </w:r>
      <w:r w:rsidR="00201CA3" w:rsidRPr="00D81472">
        <w:rPr>
          <w:rFonts w:ascii="Baskerville" w:hAnsi="Baskerville" w:cs="Times New Roman"/>
        </w:rPr>
        <w:t xml:space="preserve"> arriesgado restringir </w:t>
      </w:r>
      <w:r w:rsidR="00D524FE" w:rsidRPr="00D81472">
        <w:rPr>
          <w:rFonts w:ascii="Baskerville" w:hAnsi="Baskerville" w:cs="Times New Roman"/>
        </w:rPr>
        <w:t xml:space="preserve">la revisión del asunto a la </w:t>
      </w:r>
      <w:r w:rsidR="00201CA3" w:rsidRPr="00D81472">
        <w:rPr>
          <w:rFonts w:ascii="Baskerville" w:hAnsi="Baskerville" w:cs="Times New Roman"/>
        </w:rPr>
        <w:t xml:space="preserve">Corte Suprema, ya que el tribunal de primera instancia contaba con un margen relativamente amplio y antojadizo para establecer los montos de las multas. Esta situación </w:t>
      </w:r>
      <w:r w:rsidR="007B7421" w:rsidRPr="00D81472">
        <w:rPr>
          <w:rFonts w:ascii="Baskerville" w:hAnsi="Baskerville" w:cs="Times New Roman"/>
        </w:rPr>
        <w:t>h</w:t>
      </w:r>
      <w:r w:rsidR="009E03ED" w:rsidRPr="00D81472">
        <w:rPr>
          <w:rFonts w:ascii="Baskerville" w:hAnsi="Baskerville" w:cs="Times New Roman"/>
        </w:rPr>
        <w:t>a cambiado luego de las reformas introducidas el año</w:t>
      </w:r>
      <w:r w:rsidR="00201CA3" w:rsidRPr="00D81472">
        <w:rPr>
          <w:rFonts w:ascii="Baskerville" w:hAnsi="Baskerville" w:cs="Times New Roman"/>
        </w:rPr>
        <w:t xml:space="preserve"> 2016. </w:t>
      </w:r>
    </w:p>
    <w:p w14:paraId="0B4CCD16" w14:textId="77777777" w:rsidR="00201CA3" w:rsidRPr="00D81472" w:rsidRDefault="00201CA3" w:rsidP="00D81472">
      <w:pPr>
        <w:spacing w:line="276" w:lineRule="auto"/>
        <w:jc w:val="both"/>
        <w:rPr>
          <w:rFonts w:ascii="Baskerville" w:hAnsi="Baskerville" w:cs="Times New Roman"/>
        </w:rPr>
      </w:pPr>
    </w:p>
    <w:p w14:paraId="40984D0A" w14:textId="799F5555" w:rsidR="00201CA3" w:rsidRPr="00D81472" w:rsidRDefault="00201CA3" w:rsidP="00D81472">
      <w:pPr>
        <w:spacing w:line="276" w:lineRule="auto"/>
        <w:jc w:val="both"/>
        <w:rPr>
          <w:rFonts w:ascii="Baskerville" w:hAnsi="Baskerville" w:cs="Times New Roman"/>
        </w:rPr>
      </w:pPr>
      <w:r w:rsidRPr="00D81472">
        <w:rPr>
          <w:rFonts w:ascii="Baskerville" w:hAnsi="Baskerville" w:cs="Times New Roman"/>
        </w:rPr>
        <w:t xml:space="preserve">En aquel año hubo una serie de modificaciones a la normativa de libre competencia que permiten señalar que </w:t>
      </w:r>
      <w:r w:rsidR="007B7421" w:rsidRPr="00D81472">
        <w:rPr>
          <w:rFonts w:ascii="Baskerville" w:hAnsi="Baskerville" w:cs="Times New Roman"/>
        </w:rPr>
        <w:t>el tribunal de primera instancia está</w:t>
      </w:r>
      <w:r w:rsidRPr="00D81472">
        <w:rPr>
          <w:rFonts w:ascii="Baskerville" w:hAnsi="Baskerville" w:cs="Times New Roman"/>
        </w:rPr>
        <w:t xml:space="preserve"> mas cerca de ser considerado como un tribunal administrativo</w:t>
      </w:r>
      <w:r w:rsidR="007B7421" w:rsidRPr="00D81472">
        <w:rPr>
          <w:rFonts w:ascii="Baskerville" w:hAnsi="Baskerville" w:cs="Times New Roman"/>
        </w:rPr>
        <w:t xml:space="preserve"> que antes, </w:t>
      </w:r>
      <w:r w:rsidR="000177C0" w:rsidRPr="00D81472">
        <w:rPr>
          <w:rFonts w:ascii="Baskerville" w:hAnsi="Baskerville" w:cs="Times New Roman"/>
        </w:rPr>
        <w:t>debido a que</w:t>
      </w:r>
      <w:r w:rsidRPr="00D81472">
        <w:rPr>
          <w:rFonts w:ascii="Baskerville" w:hAnsi="Baskerville" w:cs="Times New Roman"/>
        </w:rPr>
        <w:t xml:space="preserve"> </w:t>
      </w:r>
      <w:r w:rsidR="009E03ED" w:rsidRPr="00D81472">
        <w:rPr>
          <w:rFonts w:ascii="Baskerville" w:hAnsi="Baskerville" w:cs="Times New Roman"/>
        </w:rPr>
        <w:t xml:space="preserve">ya no </w:t>
      </w:r>
      <w:r w:rsidR="000177C0" w:rsidRPr="00D81472">
        <w:rPr>
          <w:rFonts w:ascii="Baskerville" w:hAnsi="Baskerville" w:cs="Times New Roman"/>
        </w:rPr>
        <w:t xml:space="preserve">esta facultados de aplicar </w:t>
      </w:r>
      <w:r w:rsidRPr="00D81472">
        <w:rPr>
          <w:rFonts w:ascii="Baskerville" w:hAnsi="Baskerville" w:cs="Times New Roman"/>
        </w:rPr>
        <w:t xml:space="preserve">sanciones con un amplio margen de </w:t>
      </w:r>
      <w:r w:rsidR="000177C0" w:rsidRPr="00D81472">
        <w:rPr>
          <w:rFonts w:ascii="Baskerville" w:hAnsi="Baskerville" w:cs="Times New Roman"/>
        </w:rPr>
        <w:t>arbitrariedad</w:t>
      </w:r>
      <w:r w:rsidRPr="00D81472">
        <w:rPr>
          <w:rFonts w:ascii="Baskerville" w:hAnsi="Baskerville" w:cs="Times New Roman"/>
        </w:rPr>
        <w:t xml:space="preserve"> </w:t>
      </w:r>
      <w:r w:rsidR="009E03ED" w:rsidRPr="00D81472">
        <w:rPr>
          <w:rFonts w:ascii="Baskerville" w:hAnsi="Baskerville" w:cs="Times New Roman"/>
        </w:rPr>
        <w:t>como en</w:t>
      </w:r>
      <w:r w:rsidRPr="00D81472">
        <w:rPr>
          <w:rFonts w:ascii="Baskerville" w:hAnsi="Baskerville" w:cs="Times New Roman"/>
        </w:rPr>
        <w:t xml:space="preserve"> años </w:t>
      </w:r>
      <w:r w:rsidR="000177C0" w:rsidRPr="00D81472">
        <w:rPr>
          <w:rFonts w:ascii="Baskerville" w:hAnsi="Baskerville" w:cs="Times New Roman"/>
        </w:rPr>
        <w:t>anteriores</w:t>
      </w:r>
      <w:r w:rsidRPr="00D81472">
        <w:rPr>
          <w:rFonts w:ascii="Baskerville" w:hAnsi="Baskerville" w:cs="Times New Roman"/>
        </w:rPr>
        <w:t xml:space="preserve">. </w:t>
      </w:r>
    </w:p>
    <w:p w14:paraId="2E62C1D3" w14:textId="77777777" w:rsidR="00201CA3" w:rsidRPr="00D81472" w:rsidRDefault="00201CA3" w:rsidP="00D81472">
      <w:pPr>
        <w:spacing w:line="276" w:lineRule="auto"/>
        <w:jc w:val="both"/>
        <w:rPr>
          <w:rFonts w:ascii="Baskerville" w:hAnsi="Baskerville" w:cs="Times New Roman"/>
        </w:rPr>
      </w:pPr>
    </w:p>
    <w:p w14:paraId="7CBC7A95" w14:textId="71B3D89D" w:rsidR="00201CA3" w:rsidRPr="00D81472" w:rsidRDefault="00201CA3" w:rsidP="00D81472">
      <w:pPr>
        <w:spacing w:line="276" w:lineRule="auto"/>
        <w:jc w:val="both"/>
        <w:rPr>
          <w:rFonts w:ascii="Baskerville" w:hAnsi="Baskerville" w:cs="Times New Roman"/>
        </w:rPr>
      </w:pPr>
      <w:r w:rsidRPr="00D81472">
        <w:rPr>
          <w:rFonts w:ascii="Baskerville" w:hAnsi="Baskerville" w:cs="Times New Roman"/>
        </w:rPr>
        <w:t>En este sentido</w:t>
      </w:r>
      <w:r w:rsidR="007B7421" w:rsidRPr="00D81472">
        <w:rPr>
          <w:rFonts w:ascii="Baskerville" w:hAnsi="Baskerville" w:cs="Times New Roman"/>
        </w:rPr>
        <w:t>,</w:t>
      </w:r>
      <w:r w:rsidRPr="00D81472">
        <w:rPr>
          <w:rFonts w:ascii="Baskerville" w:hAnsi="Baskerville" w:cs="Times New Roman"/>
        </w:rPr>
        <w:t xml:space="preserve"> y para el objetivo de este </w:t>
      </w:r>
      <w:r w:rsidR="00E464C5">
        <w:rPr>
          <w:rFonts w:ascii="Baskerville" w:hAnsi="Baskerville" w:cs="Times New Roman"/>
        </w:rPr>
        <w:t>proyecto de ley</w:t>
      </w:r>
      <w:r w:rsidR="007B7421" w:rsidRPr="00D81472">
        <w:rPr>
          <w:rFonts w:ascii="Baskerville" w:hAnsi="Baskerville" w:cs="Times New Roman"/>
        </w:rPr>
        <w:t>,</w:t>
      </w:r>
      <w:r w:rsidRPr="00D81472">
        <w:rPr>
          <w:rFonts w:ascii="Baskerville" w:hAnsi="Baskerville" w:cs="Times New Roman"/>
        </w:rPr>
        <w:t xml:space="preserve"> no detallaremos todas las modif</w:t>
      </w:r>
      <w:r w:rsidR="007B7421" w:rsidRPr="00D81472">
        <w:rPr>
          <w:rFonts w:ascii="Baskerville" w:hAnsi="Baskerville" w:cs="Times New Roman"/>
        </w:rPr>
        <w:t>icaciones al DL 211</w:t>
      </w:r>
      <w:r w:rsidR="00C80190" w:rsidRPr="00D81472">
        <w:rPr>
          <w:rFonts w:ascii="Baskerville" w:hAnsi="Baskerville" w:cs="Times New Roman"/>
        </w:rPr>
        <w:t>,</w:t>
      </w:r>
      <w:r w:rsidR="007B7421" w:rsidRPr="00D81472">
        <w:rPr>
          <w:rFonts w:ascii="Baskerville" w:hAnsi="Baskerville" w:cs="Times New Roman"/>
        </w:rPr>
        <w:t xml:space="preserve"> si no que só</w:t>
      </w:r>
      <w:r w:rsidRPr="00D81472">
        <w:rPr>
          <w:rFonts w:ascii="Baskerville" w:hAnsi="Baskerville" w:cs="Times New Roman"/>
        </w:rPr>
        <w:t>lo las que tienen relación con la aplicación</w:t>
      </w:r>
      <w:r w:rsidR="009E03ED" w:rsidRPr="00D81472">
        <w:rPr>
          <w:rFonts w:ascii="Baskerville" w:hAnsi="Baskerville" w:cs="Times New Roman"/>
        </w:rPr>
        <w:t xml:space="preserve"> de sanciones</w:t>
      </w:r>
      <w:r w:rsidRPr="00D81472">
        <w:rPr>
          <w:rFonts w:ascii="Baskerville" w:hAnsi="Baskerville" w:cs="Times New Roman"/>
        </w:rPr>
        <w:t xml:space="preserve"> que </w:t>
      </w:r>
      <w:r w:rsidR="00C80190" w:rsidRPr="00D81472">
        <w:rPr>
          <w:rFonts w:ascii="Baskerville" w:hAnsi="Baskerville" w:cs="Times New Roman"/>
        </w:rPr>
        <w:t>fuera</w:t>
      </w:r>
      <w:r w:rsidR="003B321E" w:rsidRPr="00D81472">
        <w:rPr>
          <w:rFonts w:ascii="Baskerville" w:hAnsi="Baskerville" w:cs="Times New Roman"/>
        </w:rPr>
        <w:t>n</w:t>
      </w:r>
      <w:r w:rsidRPr="00D81472">
        <w:rPr>
          <w:rFonts w:ascii="Baskerville" w:hAnsi="Baskerville" w:cs="Times New Roman"/>
        </w:rPr>
        <w:t xml:space="preserve"> capaces de producir un cambio en el sistema recursivo</w:t>
      </w:r>
      <w:r w:rsidR="009E03ED" w:rsidRPr="00D81472">
        <w:rPr>
          <w:rFonts w:ascii="Baskerville" w:hAnsi="Baskerville" w:cs="Times New Roman"/>
        </w:rPr>
        <w:t xml:space="preserve"> actual</w:t>
      </w:r>
      <w:r w:rsidRPr="00D81472">
        <w:rPr>
          <w:rFonts w:ascii="Baskerville" w:hAnsi="Baskerville" w:cs="Times New Roman"/>
        </w:rPr>
        <w:t xml:space="preserve">. </w:t>
      </w:r>
    </w:p>
    <w:p w14:paraId="249AD52F" w14:textId="77777777" w:rsidR="003B321E" w:rsidRPr="00D81472" w:rsidRDefault="003B321E" w:rsidP="00D81472">
      <w:pPr>
        <w:spacing w:line="276" w:lineRule="auto"/>
        <w:jc w:val="both"/>
        <w:rPr>
          <w:rFonts w:ascii="Baskerville" w:hAnsi="Baskerville" w:cs="Times New Roman"/>
        </w:rPr>
      </w:pPr>
    </w:p>
    <w:p w14:paraId="1EE2586E" w14:textId="5690E718" w:rsidR="003B321E" w:rsidRPr="00D81472" w:rsidRDefault="00AA459B" w:rsidP="00D81472">
      <w:pPr>
        <w:spacing w:line="276" w:lineRule="auto"/>
        <w:jc w:val="both"/>
        <w:rPr>
          <w:rFonts w:ascii="Baskerville" w:hAnsi="Baskerville" w:cs="Times New Roman"/>
        </w:rPr>
      </w:pPr>
      <w:r w:rsidRPr="00D81472">
        <w:rPr>
          <w:rFonts w:ascii="Baskerville" w:hAnsi="Baskerville" w:cs="Times New Roman"/>
        </w:rPr>
        <w:t>En primer lugar, s</w:t>
      </w:r>
      <w:r w:rsidR="003B321E" w:rsidRPr="00D81472">
        <w:rPr>
          <w:rFonts w:ascii="Baskerville" w:hAnsi="Baskerville" w:cs="Times New Roman"/>
        </w:rPr>
        <w:t>e tarifican la</w:t>
      </w:r>
      <w:r w:rsidR="00934684" w:rsidRPr="00D81472">
        <w:rPr>
          <w:rFonts w:ascii="Baskerville" w:hAnsi="Baskerville" w:cs="Times New Roman"/>
        </w:rPr>
        <w:t>s multas en delitos de colusión. E</w:t>
      </w:r>
      <w:r w:rsidR="003B321E" w:rsidRPr="00D81472">
        <w:rPr>
          <w:rFonts w:ascii="Baskerville" w:hAnsi="Baskerville" w:cs="Times New Roman"/>
        </w:rPr>
        <w:t>sto es uno de los aspecto mas interesantes, debido a que transforma la aplicación de sanciones a un sistema infraccional</w:t>
      </w:r>
      <w:r w:rsidR="00934684" w:rsidRPr="00D81472">
        <w:rPr>
          <w:rFonts w:ascii="Baskerville" w:hAnsi="Baskerville" w:cs="Times New Roman"/>
        </w:rPr>
        <w:t>. De esta manera,</w:t>
      </w:r>
      <w:r w:rsidRPr="00D81472">
        <w:rPr>
          <w:rFonts w:ascii="Baskerville" w:hAnsi="Baskerville" w:cs="Times New Roman"/>
        </w:rPr>
        <w:t xml:space="preserve"> existiendo una infracción</w:t>
      </w:r>
      <w:r w:rsidR="00934684" w:rsidRPr="00D81472">
        <w:rPr>
          <w:rFonts w:ascii="Baskerville" w:hAnsi="Baskerville" w:cs="Times New Roman"/>
        </w:rPr>
        <w:t>,</w:t>
      </w:r>
      <w:r w:rsidRPr="00D81472">
        <w:rPr>
          <w:rFonts w:ascii="Baskerville" w:hAnsi="Baskerville" w:cs="Times New Roman"/>
        </w:rPr>
        <w:t xml:space="preserve"> el TDLC debe aplicar los parámetros estrictos que menciona la norma</w:t>
      </w:r>
      <w:r w:rsidR="00934684" w:rsidRPr="00D81472">
        <w:rPr>
          <w:rFonts w:ascii="Baskerville" w:hAnsi="Baskerville" w:cs="Times New Roman"/>
        </w:rPr>
        <w:t>. Por lo tanto</w:t>
      </w:r>
      <w:r w:rsidR="003B321E" w:rsidRPr="00D81472">
        <w:rPr>
          <w:rFonts w:ascii="Baskerville" w:hAnsi="Baskerville" w:cs="Times New Roman"/>
        </w:rPr>
        <w:t xml:space="preserve">, el tribunal una vez que establece que se ha cometido el ilícito de colusión </w:t>
      </w:r>
      <w:r w:rsidRPr="00D81472">
        <w:rPr>
          <w:rFonts w:ascii="Baskerville" w:hAnsi="Baskerville" w:cs="Times New Roman"/>
        </w:rPr>
        <w:t>debe</w:t>
      </w:r>
      <w:r w:rsidR="003B321E" w:rsidRPr="00D81472">
        <w:rPr>
          <w:rFonts w:ascii="Baskerville" w:hAnsi="Baskerville" w:cs="Times New Roman"/>
        </w:rPr>
        <w:t xml:space="preserve"> aplicar los criterios establecidos en la ley. ¿cuáles son estos criterios? </w:t>
      </w:r>
    </w:p>
    <w:p w14:paraId="4FCA9E0B" w14:textId="77777777" w:rsidR="003B321E" w:rsidRPr="00D81472" w:rsidRDefault="003B321E" w:rsidP="00D81472">
      <w:pPr>
        <w:spacing w:line="276" w:lineRule="auto"/>
        <w:jc w:val="both"/>
        <w:rPr>
          <w:rFonts w:ascii="Baskerville" w:hAnsi="Baskerville" w:cs="Times New Roman"/>
        </w:rPr>
      </w:pPr>
    </w:p>
    <w:p w14:paraId="62F122B2" w14:textId="47EA9614" w:rsidR="003B321E" w:rsidRPr="00D81472" w:rsidRDefault="003B321E" w:rsidP="00D81472">
      <w:pPr>
        <w:spacing w:line="276" w:lineRule="auto"/>
        <w:jc w:val="both"/>
        <w:rPr>
          <w:rFonts w:ascii="Baskerville" w:hAnsi="Baskerville" w:cs="Times New Roman"/>
        </w:rPr>
      </w:pPr>
      <w:r w:rsidRPr="00D81472">
        <w:rPr>
          <w:rFonts w:ascii="Baskerville" w:hAnsi="Baskerville" w:cs="Times New Roman"/>
        </w:rPr>
        <w:lastRenderedPageBreak/>
        <w:t xml:space="preserve">El tribunal ahora debe aplicar la siguiente ecuación: </w:t>
      </w:r>
      <w:r w:rsidR="0097072B" w:rsidRPr="00D81472">
        <w:rPr>
          <w:rFonts w:ascii="Baskerville" w:hAnsi="Baskerville" w:cs="Times New Roman"/>
        </w:rPr>
        <w:t>La multa debe ser equivalente al 30% de las ventas del infractor correspondientes a la línea de productos o servicios asociada a la infracción durante el período por el cual ésta se haya extendido</w:t>
      </w:r>
      <w:r w:rsidRPr="00D81472">
        <w:rPr>
          <w:rFonts w:ascii="Baskerville" w:hAnsi="Baskerville" w:cs="Times New Roman"/>
        </w:rPr>
        <w:t xml:space="preserve"> </w:t>
      </w:r>
      <w:r w:rsidR="0097072B" w:rsidRPr="00D81472">
        <w:rPr>
          <w:rFonts w:ascii="Baskerville" w:hAnsi="Baskerville" w:cs="Times New Roman"/>
        </w:rPr>
        <w:t xml:space="preserve">o hasta el doble del beneficio económico reportado por la infracción. </w:t>
      </w:r>
    </w:p>
    <w:p w14:paraId="75228238" w14:textId="77777777" w:rsidR="0097072B" w:rsidRPr="00D81472" w:rsidRDefault="0097072B" w:rsidP="00D81472">
      <w:pPr>
        <w:spacing w:line="276" w:lineRule="auto"/>
        <w:jc w:val="both"/>
        <w:rPr>
          <w:rFonts w:ascii="Baskerville" w:hAnsi="Baskerville" w:cs="Times New Roman"/>
        </w:rPr>
      </w:pPr>
    </w:p>
    <w:p w14:paraId="0D8C614C" w14:textId="6D1E66E7" w:rsidR="0097072B" w:rsidRPr="00D81472" w:rsidRDefault="00E00DC3" w:rsidP="00D81472">
      <w:pPr>
        <w:spacing w:line="276" w:lineRule="auto"/>
        <w:jc w:val="both"/>
        <w:rPr>
          <w:rFonts w:ascii="Baskerville" w:hAnsi="Baskerville" w:cs="Times New Roman"/>
        </w:rPr>
      </w:pPr>
      <w:r w:rsidRPr="00D81472">
        <w:rPr>
          <w:rFonts w:ascii="Baskerville" w:hAnsi="Baskerville" w:cs="Times New Roman"/>
        </w:rPr>
        <w:t xml:space="preserve">La normativa, </w:t>
      </w:r>
      <w:r w:rsidR="0097072B" w:rsidRPr="00D81472">
        <w:rPr>
          <w:rFonts w:ascii="Baskerville" w:hAnsi="Baskerville" w:cs="Times New Roman"/>
        </w:rPr>
        <w:t xml:space="preserve">en el evento </w:t>
      </w:r>
      <w:r w:rsidRPr="00D81472">
        <w:rPr>
          <w:rFonts w:ascii="Baskerville" w:hAnsi="Baskerville" w:cs="Times New Roman"/>
        </w:rPr>
        <w:t xml:space="preserve">excepcional </w:t>
      </w:r>
      <w:r w:rsidR="0097072B" w:rsidRPr="00D81472">
        <w:rPr>
          <w:rFonts w:ascii="Baskerville" w:hAnsi="Baskerville" w:cs="Times New Roman"/>
        </w:rPr>
        <w:t xml:space="preserve">de que sea imposible </w:t>
      </w:r>
      <w:r w:rsidRPr="00D81472">
        <w:rPr>
          <w:rFonts w:ascii="Baskerville" w:hAnsi="Baskerville" w:cs="Times New Roman"/>
        </w:rPr>
        <w:t xml:space="preserve">determinar el </w:t>
      </w:r>
      <w:r w:rsidR="00AA459B" w:rsidRPr="00D81472">
        <w:rPr>
          <w:rFonts w:ascii="Baskerville" w:hAnsi="Baskerville" w:cs="Times New Roman"/>
        </w:rPr>
        <w:t>monto de las ventas</w:t>
      </w:r>
      <w:r w:rsidRPr="00D81472">
        <w:rPr>
          <w:rFonts w:ascii="Baskerville" w:hAnsi="Baskerville" w:cs="Times New Roman"/>
        </w:rPr>
        <w:t>, establece un monto de la multa que puede llegar a las 60.000 Unidades Tributables Anuales</w:t>
      </w:r>
      <w:r w:rsidR="00AA459B" w:rsidRPr="00D81472">
        <w:rPr>
          <w:rFonts w:ascii="Baskerville" w:hAnsi="Baskerville" w:cs="Times New Roman"/>
        </w:rPr>
        <w:t xml:space="preserve">. Adicionalmente se establece una nueva sanción, la cual prohíbe a los condenados por estos atentados suscribir contratos con la administración del Estado. </w:t>
      </w:r>
      <w:r w:rsidRPr="00D81472">
        <w:rPr>
          <w:rFonts w:ascii="Baskerville" w:hAnsi="Baskerville" w:cs="Times New Roman"/>
        </w:rPr>
        <w:t xml:space="preserve"> </w:t>
      </w:r>
      <w:r w:rsidR="00AA459B" w:rsidRPr="00D81472">
        <w:rPr>
          <w:rFonts w:ascii="Baskerville" w:hAnsi="Baskerville" w:cs="Times New Roman"/>
        </w:rPr>
        <w:t xml:space="preserve"> </w:t>
      </w:r>
      <w:r w:rsidR="00FD11D3" w:rsidRPr="00D81472">
        <w:rPr>
          <w:rFonts w:ascii="Baskerville" w:hAnsi="Baskerville" w:cs="Times New Roman"/>
        </w:rPr>
        <w:t xml:space="preserve"> </w:t>
      </w:r>
    </w:p>
    <w:p w14:paraId="0D721864" w14:textId="77777777" w:rsidR="00FD11D3" w:rsidRPr="00D81472" w:rsidRDefault="00FD11D3" w:rsidP="00D81472">
      <w:pPr>
        <w:spacing w:line="276" w:lineRule="auto"/>
        <w:jc w:val="both"/>
        <w:rPr>
          <w:rFonts w:ascii="Baskerville" w:hAnsi="Baskerville" w:cs="Times New Roman"/>
        </w:rPr>
      </w:pPr>
    </w:p>
    <w:p w14:paraId="425E9D0F" w14:textId="2E40BE1A" w:rsidR="00FD11D3" w:rsidRPr="00D81472" w:rsidRDefault="00934684" w:rsidP="00D81472">
      <w:pPr>
        <w:spacing w:line="276" w:lineRule="auto"/>
        <w:jc w:val="both"/>
        <w:rPr>
          <w:rFonts w:ascii="Baskerville" w:hAnsi="Baskerville" w:cs="Times New Roman"/>
        </w:rPr>
      </w:pPr>
      <w:r w:rsidRPr="00D81472">
        <w:rPr>
          <w:rFonts w:ascii="Baskerville" w:hAnsi="Baskerville" w:cs="Times New Roman"/>
        </w:rPr>
        <w:t>En este mismo sentido</w:t>
      </w:r>
      <w:r w:rsidR="00FD11D3" w:rsidRPr="00D81472">
        <w:rPr>
          <w:rFonts w:ascii="Baskerville" w:hAnsi="Baskerville" w:cs="Times New Roman"/>
        </w:rPr>
        <w:t>, la reforma legal fue describiendo una serie de hechos de manera pormenorizada, anexando a ello la sanción que debe ser aplicada. Así por ejemplo se regula de manera mas exacta la institución de la delación compensada</w:t>
      </w:r>
      <w:r w:rsidR="00FD11D3" w:rsidRPr="00D81472">
        <w:rPr>
          <w:rStyle w:val="Refdenotaalpie"/>
          <w:rFonts w:ascii="Baskerville" w:hAnsi="Baskerville" w:cs="Times New Roman"/>
        </w:rPr>
        <w:footnoteReference w:id="14"/>
      </w:r>
      <w:r w:rsidR="00FD11D3" w:rsidRPr="00D81472">
        <w:rPr>
          <w:rFonts w:ascii="Baskerville" w:hAnsi="Baskerville" w:cs="Times New Roman"/>
        </w:rPr>
        <w:t xml:space="preserve"> en la cual </w:t>
      </w:r>
      <w:r w:rsidR="003265ED" w:rsidRPr="00D81472">
        <w:rPr>
          <w:rFonts w:ascii="Baskerville" w:hAnsi="Baskerville" w:cs="Times New Roman"/>
        </w:rPr>
        <w:t xml:space="preserve">se exceptúa al primer delator de la pena de presidio efectivo, de la sanción de la cancelación de la personalidad jurídica y de las multas. Al segundo incluso se le exime de la multa en un 50% del total de la ventas. </w:t>
      </w:r>
    </w:p>
    <w:p w14:paraId="60A32AF9" w14:textId="77777777" w:rsidR="003265ED" w:rsidRPr="00D81472" w:rsidRDefault="003265ED" w:rsidP="00D81472">
      <w:pPr>
        <w:spacing w:line="276" w:lineRule="auto"/>
        <w:jc w:val="both"/>
        <w:rPr>
          <w:rFonts w:ascii="Baskerville" w:hAnsi="Baskerville" w:cs="Times New Roman"/>
        </w:rPr>
      </w:pPr>
    </w:p>
    <w:p w14:paraId="096B2151" w14:textId="77777777" w:rsidR="00934684" w:rsidRPr="00D81472" w:rsidRDefault="003265ED" w:rsidP="00D81472">
      <w:pPr>
        <w:spacing w:line="276" w:lineRule="auto"/>
        <w:jc w:val="both"/>
        <w:rPr>
          <w:rFonts w:ascii="Baskerville" w:hAnsi="Baskerville" w:cs="Times New Roman"/>
        </w:rPr>
      </w:pPr>
      <w:r w:rsidRPr="00D81472">
        <w:rPr>
          <w:rFonts w:ascii="Baskerville" w:hAnsi="Baskerville" w:cs="Times New Roman"/>
        </w:rPr>
        <w:t>Lo anterior vuelve a reforzar la idea de que la reforma legal del año 2016 establece criterios mas exactos para definir cual es manera que debe reaccionar el T</w:t>
      </w:r>
      <w:r w:rsidR="00934684" w:rsidRPr="00D81472">
        <w:rPr>
          <w:rFonts w:ascii="Baskerville" w:hAnsi="Baskerville" w:cs="Times New Roman"/>
        </w:rPr>
        <w:t>DLC a ciertos hechos que dé</w:t>
      </w:r>
      <w:r w:rsidRPr="00D81472">
        <w:rPr>
          <w:rFonts w:ascii="Baskerville" w:hAnsi="Baskerville" w:cs="Times New Roman"/>
        </w:rPr>
        <w:t xml:space="preserve"> por establecidos. Así una vez </w:t>
      </w:r>
      <w:r w:rsidR="00934684" w:rsidRPr="00D81472">
        <w:rPr>
          <w:rFonts w:ascii="Baskerville" w:hAnsi="Baskerville" w:cs="Times New Roman"/>
        </w:rPr>
        <w:t>determinados</w:t>
      </w:r>
      <w:r w:rsidRPr="00D81472">
        <w:rPr>
          <w:rFonts w:ascii="Baskerville" w:hAnsi="Baskerville" w:cs="Times New Roman"/>
        </w:rPr>
        <w:t xml:space="preserve"> por el tribunal ciertos hechos, </w:t>
      </w:r>
      <w:r w:rsidR="00934684" w:rsidRPr="00D81472">
        <w:rPr>
          <w:rFonts w:ascii="Baskerville" w:hAnsi="Baskerville" w:cs="Times New Roman"/>
        </w:rPr>
        <w:t xml:space="preserve">éste </w:t>
      </w:r>
      <w:r w:rsidRPr="00D81472">
        <w:rPr>
          <w:rFonts w:ascii="Baskerville" w:hAnsi="Baskerville" w:cs="Times New Roman"/>
        </w:rPr>
        <w:t>tiene la obligación</w:t>
      </w:r>
      <w:r w:rsidR="00934684" w:rsidRPr="00D81472">
        <w:rPr>
          <w:rFonts w:ascii="Baskerville" w:hAnsi="Baskerville" w:cs="Times New Roman"/>
        </w:rPr>
        <w:t>, por mandato legal,</w:t>
      </w:r>
      <w:r w:rsidRPr="00D81472">
        <w:rPr>
          <w:rFonts w:ascii="Baskerville" w:hAnsi="Baskerville" w:cs="Times New Roman"/>
        </w:rPr>
        <w:t xml:space="preserve"> de sancionar de determinada manera. </w:t>
      </w:r>
    </w:p>
    <w:p w14:paraId="3CA72B48" w14:textId="77777777" w:rsidR="00934684" w:rsidRPr="00D81472" w:rsidRDefault="00934684" w:rsidP="00D81472">
      <w:pPr>
        <w:spacing w:line="276" w:lineRule="auto"/>
        <w:jc w:val="both"/>
        <w:rPr>
          <w:rFonts w:ascii="Baskerville" w:hAnsi="Baskerville" w:cs="Times New Roman"/>
        </w:rPr>
      </w:pPr>
    </w:p>
    <w:p w14:paraId="01EEA360" w14:textId="10BC273F" w:rsidR="00A80AEE" w:rsidRPr="00D81472" w:rsidRDefault="003265ED" w:rsidP="00D81472">
      <w:pPr>
        <w:spacing w:line="276" w:lineRule="auto"/>
        <w:jc w:val="both"/>
        <w:rPr>
          <w:rFonts w:ascii="Baskerville" w:hAnsi="Baskerville" w:cs="Times New Roman"/>
        </w:rPr>
      </w:pPr>
      <w:r w:rsidRPr="00D81472">
        <w:rPr>
          <w:rFonts w:ascii="Baskerville" w:hAnsi="Baskerville" w:cs="Times New Roman"/>
        </w:rPr>
        <w:t xml:space="preserve">Esto último es básicamente aplicar </w:t>
      </w:r>
      <w:r w:rsidR="00C80190" w:rsidRPr="00D81472">
        <w:rPr>
          <w:rFonts w:ascii="Baskerville" w:hAnsi="Baskerville" w:cs="Times New Roman"/>
        </w:rPr>
        <w:t xml:space="preserve">una </w:t>
      </w:r>
      <w:r w:rsidR="00934684" w:rsidRPr="00D81472">
        <w:rPr>
          <w:rFonts w:ascii="Baskerville" w:hAnsi="Baskerville" w:cs="Times New Roman"/>
        </w:rPr>
        <w:t>sanción cuando se comete una</w:t>
      </w:r>
      <w:r w:rsidRPr="00D81472">
        <w:rPr>
          <w:rFonts w:ascii="Baskerville" w:hAnsi="Baskerville" w:cs="Times New Roman"/>
        </w:rPr>
        <w:t xml:space="preserve"> infracción</w:t>
      </w:r>
      <w:r w:rsidR="00C80190" w:rsidRPr="00D81472">
        <w:rPr>
          <w:rFonts w:ascii="Baskerville" w:hAnsi="Baskerville" w:cs="Times New Roman"/>
        </w:rPr>
        <w:t>, la cual</w:t>
      </w:r>
      <w:r w:rsidRPr="00D81472">
        <w:rPr>
          <w:rFonts w:ascii="Baskerville" w:hAnsi="Baskerville" w:cs="Times New Roman"/>
        </w:rPr>
        <w:t xml:space="preserve"> se configura por el mero establecimiento de un hecho, nada mas. Este es el giro que estamos tratando de evidenciar, el tribun</w:t>
      </w:r>
      <w:r w:rsidR="00C80190" w:rsidRPr="00D81472">
        <w:rPr>
          <w:rFonts w:ascii="Baskerville" w:hAnsi="Baskerville" w:cs="Times New Roman"/>
        </w:rPr>
        <w:t>al cada vez se parece má</w:t>
      </w:r>
      <w:r w:rsidRPr="00D81472">
        <w:rPr>
          <w:rFonts w:ascii="Baskerville" w:hAnsi="Baskerville" w:cs="Times New Roman"/>
        </w:rPr>
        <w:t xml:space="preserve">s a una agencia (en el sentido administrativo) y menos </w:t>
      </w:r>
      <w:r w:rsidR="00934684" w:rsidRPr="00D81472">
        <w:rPr>
          <w:rFonts w:ascii="Baskerville" w:hAnsi="Baskerville" w:cs="Times New Roman"/>
        </w:rPr>
        <w:t>a un tribunal jurisdiccional</w:t>
      </w:r>
      <w:r w:rsidR="00C80190" w:rsidRPr="00D81472">
        <w:rPr>
          <w:rFonts w:ascii="Baskerville" w:hAnsi="Baskerville" w:cs="Times New Roman"/>
        </w:rPr>
        <w:t>.</w:t>
      </w:r>
    </w:p>
    <w:p w14:paraId="795A1A9E" w14:textId="77777777" w:rsidR="00C80190" w:rsidRPr="00D81472" w:rsidRDefault="00C80190" w:rsidP="00D81472">
      <w:pPr>
        <w:spacing w:line="276" w:lineRule="auto"/>
        <w:jc w:val="both"/>
        <w:rPr>
          <w:rFonts w:ascii="Baskerville" w:hAnsi="Baskerville" w:cs="Times New Roman"/>
        </w:rPr>
      </w:pPr>
    </w:p>
    <w:p w14:paraId="5985552C" w14:textId="076AB725" w:rsidR="00B90CA5" w:rsidRPr="00D81472" w:rsidRDefault="002608EE" w:rsidP="00D81472">
      <w:pPr>
        <w:spacing w:line="276" w:lineRule="auto"/>
        <w:jc w:val="both"/>
        <w:rPr>
          <w:rFonts w:ascii="Baskerville" w:hAnsi="Baskerville" w:cs="Times New Roman"/>
        </w:rPr>
      </w:pPr>
      <w:r w:rsidRPr="00D81472">
        <w:rPr>
          <w:rFonts w:ascii="Baskerville" w:hAnsi="Baskerville" w:cs="Times New Roman"/>
          <w:b/>
          <w:u w:val="single"/>
        </w:rPr>
        <w:t>La innovación propuesta.</w:t>
      </w:r>
      <w:r w:rsidR="0021012D" w:rsidRPr="00D81472">
        <w:rPr>
          <w:rFonts w:ascii="Baskerville" w:hAnsi="Baskerville" w:cs="Times New Roman"/>
          <w:b/>
          <w:u w:val="single"/>
        </w:rPr>
        <w:t xml:space="preserve"> </w:t>
      </w:r>
    </w:p>
    <w:p w14:paraId="779E83E4" w14:textId="77777777" w:rsidR="00B90CA5" w:rsidRPr="00D81472" w:rsidRDefault="00B90CA5" w:rsidP="00D81472">
      <w:pPr>
        <w:spacing w:line="276" w:lineRule="auto"/>
        <w:jc w:val="both"/>
        <w:rPr>
          <w:rFonts w:ascii="Baskerville" w:hAnsi="Baskerville" w:cs="Times New Roman"/>
        </w:rPr>
      </w:pPr>
    </w:p>
    <w:p w14:paraId="2A6282CB" w14:textId="2DB11797" w:rsidR="00B90CA5" w:rsidRPr="00D81472" w:rsidRDefault="00E464C5" w:rsidP="00D81472">
      <w:pPr>
        <w:spacing w:line="276" w:lineRule="auto"/>
        <w:jc w:val="both"/>
        <w:rPr>
          <w:rFonts w:ascii="Baskerville" w:hAnsi="Baskerville" w:cs="Times New Roman"/>
        </w:rPr>
      </w:pPr>
      <w:r>
        <w:rPr>
          <w:rFonts w:ascii="Baskerville" w:hAnsi="Baskerville" w:cs="Times New Roman"/>
        </w:rPr>
        <w:t>La tesis que propone este proyecto de ley</w:t>
      </w:r>
      <w:r w:rsidR="00B90CA5" w:rsidRPr="00D81472">
        <w:rPr>
          <w:rFonts w:ascii="Baskerville" w:hAnsi="Baskerville" w:cs="Times New Roman"/>
        </w:rPr>
        <w:t xml:space="preserve"> básicamente es que</w:t>
      </w:r>
      <w:r w:rsidR="007E119B" w:rsidRPr="00D81472">
        <w:rPr>
          <w:rFonts w:ascii="Baskerville" w:hAnsi="Baskerville" w:cs="Times New Roman"/>
        </w:rPr>
        <w:t>;</w:t>
      </w:r>
      <w:r w:rsidR="00B90CA5" w:rsidRPr="00D81472">
        <w:rPr>
          <w:rFonts w:ascii="Baskerville" w:hAnsi="Baskerville" w:cs="Times New Roman"/>
        </w:rPr>
        <w:t xml:space="preserve"> debido a que las circunstancias en las cuales se d</w:t>
      </w:r>
      <w:r w:rsidR="007E119B" w:rsidRPr="00D81472">
        <w:rPr>
          <w:rFonts w:ascii="Baskerville" w:hAnsi="Baskerville" w:cs="Times New Roman"/>
        </w:rPr>
        <w:t>ictó la ley que creo el TDLC han vari</w:t>
      </w:r>
      <w:r w:rsidR="00DF471E" w:rsidRPr="00D81472">
        <w:rPr>
          <w:rFonts w:ascii="Baskerville" w:hAnsi="Baskerville" w:cs="Times New Roman"/>
        </w:rPr>
        <w:t xml:space="preserve">ado, </w:t>
      </w:r>
      <w:r w:rsidR="007E119B" w:rsidRPr="00D81472">
        <w:rPr>
          <w:rFonts w:ascii="Baskerville" w:hAnsi="Baskerville" w:cs="Times New Roman"/>
        </w:rPr>
        <w:t>ya no es necesario que la Corte Suprema,</w:t>
      </w:r>
      <w:r w:rsidR="00DF471E" w:rsidRPr="00D81472">
        <w:rPr>
          <w:rFonts w:ascii="Baskerville" w:hAnsi="Baskerville" w:cs="Times New Roman"/>
        </w:rPr>
        <w:t xml:space="preserve"> en su papel de</w:t>
      </w:r>
      <w:r w:rsidR="007E119B" w:rsidRPr="00D81472">
        <w:rPr>
          <w:rFonts w:ascii="Baskerville" w:hAnsi="Baskerville" w:cs="Times New Roman"/>
        </w:rPr>
        <w:t xml:space="preserve"> tribual generalista, revise de manera </w:t>
      </w:r>
      <w:r w:rsidR="007E119B" w:rsidRPr="00D81472">
        <w:rPr>
          <w:rFonts w:ascii="Baskerville" w:hAnsi="Baskerville" w:cs="Times New Roman"/>
        </w:rPr>
        <w:lastRenderedPageBreak/>
        <w:t>amplia las se</w:t>
      </w:r>
      <w:r w:rsidR="00C80190" w:rsidRPr="00D81472">
        <w:rPr>
          <w:rFonts w:ascii="Baskerville" w:hAnsi="Baskerville" w:cs="Times New Roman"/>
        </w:rPr>
        <w:t>ntencias definitivas emitidas por</w:t>
      </w:r>
      <w:r w:rsidR="007E119B" w:rsidRPr="00D81472">
        <w:rPr>
          <w:rFonts w:ascii="Baskerville" w:hAnsi="Baskerville" w:cs="Times New Roman"/>
        </w:rPr>
        <w:t xml:space="preserve"> un tribunal experto y aplicador de políticas públicas como lo es en Chile el Tribunal de Defensa de Libre competencia. </w:t>
      </w:r>
      <w:r w:rsidR="00B90CA5" w:rsidRPr="00D81472">
        <w:rPr>
          <w:rFonts w:ascii="Baskerville" w:hAnsi="Baskerville" w:cs="Times New Roman"/>
        </w:rPr>
        <w:t xml:space="preserve"> </w:t>
      </w:r>
    </w:p>
    <w:p w14:paraId="6B9F3F68" w14:textId="77777777" w:rsidR="006B2F57" w:rsidRPr="00D81472" w:rsidRDefault="006B2F57" w:rsidP="00D81472">
      <w:pPr>
        <w:spacing w:line="276" w:lineRule="auto"/>
        <w:jc w:val="both"/>
        <w:rPr>
          <w:rFonts w:ascii="Baskerville" w:hAnsi="Baskerville" w:cs="Times New Roman"/>
        </w:rPr>
      </w:pPr>
    </w:p>
    <w:p w14:paraId="57507212" w14:textId="1738E981" w:rsidR="006B2F57" w:rsidRPr="00D81472" w:rsidRDefault="006B2F57" w:rsidP="00D81472">
      <w:pPr>
        <w:spacing w:line="276" w:lineRule="auto"/>
        <w:jc w:val="both"/>
        <w:rPr>
          <w:rFonts w:ascii="Baskerville" w:hAnsi="Baskerville" w:cs="Times New Roman"/>
        </w:rPr>
      </w:pPr>
      <w:r w:rsidRPr="00D81472">
        <w:rPr>
          <w:rFonts w:ascii="Baskerville" w:hAnsi="Baskerville" w:cs="Times New Roman"/>
        </w:rPr>
        <w:t xml:space="preserve">En este punto es interesante analizar la experiencia francesa e inglesa. En ambos, sin perjuicio del margen de apreciación desarrollado por el juez que conoce de la impugnación de una decisión administrativa, las reglas generales podrían permitir la revisión del proceso en una segunda instancia. Pero esta opción sólo es admitida en el derecho francés en la medida que la sentencia </w:t>
      </w:r>
      <w:r w:rsidRPr="00D81472">
        <w:rPr>
          <w:rFonts w:ascii="Baskerville" w:hAnsi="Baskerville" w:cs="Times New Roman"/>
          <w:b/>
          <w:u w:val="single"/>
        </w:rPr>
        <w:t>no</w:t>
      </w:r>
      <w:r w:rsidRPr="00D81472">
        <w:rPr>
          <w:rFonts w:ascii="Baskerville" w:hAnsi="Baskerville" w:cs="Times New Roman"/>
        </w:rPr>
        <w:t xml:space="preserve"> recaiga sobre una decisión en materia de control o de regulación. En otros casos la sentencia será dictada en</w:t>
      </w:r>
      <w:r w:rsidR="005D08A8" w:rsidRPr="00D81472">
        <w:rPr>
          <w:rFonts w:ascii="Baskerville" w:hAnsi="Baskerville" w:cs="Times New Roman"/>
        </w:rPr>
        <w:t xml:space="preserve"> primera y única instancia</w:t>
      </w:r>
      <w:r w:rsidRPr="00D81472">
        <w:rPr>
          <w:rFonts w:ascii="Baskerville" w:hAnsi="Baskerville" w:cs="Times New Roman"/>
        </w:rPr>
        <w:t>. Asimismo, en el derecho inglés, el recurso sólo se admite por puntos de</w:t>
      </w:r>
      <w:r w:rsidR="005D08A8" w:rsidRPr="00D81472">
        <w:rPr>
          <w:rFonts w:ascii="Baskerville" w:hAnsi="Baskerville" w:cs="Times New Roman"/>
        </w:rPr>
        <w:t xml:space="preserve"> derecho</w:t>
      </w:r>
      <w:r w:rsidRPr="00D81472">
        <w:rPr>
          <w:rFonts w:ascii="Baskerville" w:hAnsi="Baskerville" w:cs="Times New Roman"/>
        </w:rPr>
        <w:t>.</w:t>
      </w:r>
      <w:r w:rsidR="005D08A8" w:rsidRPr="00D81472">
        <w:rPr>
          <w:rFonts w:ascii="Baskerville" w:hAnsi="Baskerville" w:cs="Times New Roman"/>
        </w:rPr>
        <w:t xml:space="preserve"> </w:t>
      </w:r>
    </w:p>
    <w:p w14:paraId="35A1B210" w14:textId="77777777" w:rsidR="005D08A8" w:rsidRPr="00D81472" w:rsidRDefault="005D08A8" w:rsidP="00D81472">
      <w:pPr>
        <w:spacing w:line="276" w:lineRule="auto"/>
        <w:jc w:val="both"/>
        <w:rPr>
          <w:rFonts w:ascii="Baskerville" w:hAnsi="Baskerville" w:cs="Times New Roman"/>
        </w:rPr>
      </w:pPr>
    </w:p>
    <w:p w14:paraId="7D62BD98" w14:textId="3FC506DB" w:rsidR="005D08A8" w:rsidRPr="00D81472" w:rsidRDefault="005D08A8" w:rsidP="00D81472">
      <w:pPr>
        <w:spacing w:line="276" w:lineRule="auto"/>
        <w:jc w:val="both"/>
        <w:rPr>
          <w:rFonts w:ascii="Baskerville" w:hAnsi="Baskerville" w:cs="Times New Roman"/>
          <w:lang w:val="es-ES"/>
        </w:rPr>
      </w:pPr>
      <w:r w:rsidRPr="00D81472">
        <w:rPr>
          <w:rFonts w:ascii="Baskerville" w:hAnsi="Baskerville" w:cs="Times New Roman"/>
        </w:rPr>
        <w:t>En el derecho francés</w:t>
      </w:r>
      <w:r w:rsidRPr="00D81472">
        <w:rPr>
          <w:rFonts w:ascii="Baskerville" w:hAnsi="Baskerville" w:cs="Times New Roman"/>
          <w:lang w:val="es-ES"/>
        </w:rPr>
        <w:t xml:space="preserve"> el principio aplicable es que el juez de la autoridad de regulación económica responda a las reglas generales del contencioso administrativo. Las controversias en materias económicas serán por consiguiente, conocidas en primera instancia por parte del Tribunal administrativo, en segunda instancia</w:t>
      </w:r>
      <w:r w:rsidR="00C22656" w:rsidRPr="00D81472">
        <w:rPr>
          <w:rFonts w:ascii="Baskerville" w:hAnsi="Baskerville" w:cs="Times New Roman"/>
          <w:lang w:val="es-ES"/>
        </w:rPr>
        <w:t xml:space="preserve"> </w:t>
      </w:r>
      <w:r w:rsidRPr="00D81472">
        <w:rPr>
          <w:rFonts w:ascii="Baskerville" w:hAnsi="Baskerville" w:cs="Times New Roman"/>
          <w:lang w:val="es-ES"/>
        </w:rPr>
        <w:t>por la Corte de Apelación administrativa y, en casación, por parte del Consejo de Estado. La excepción</w:t>
      </w:r>
      <w:r w:rsidR="00C22656" w:rsidRPr="00D81472">
        <w:rPr>
          <w:rFonts w:ascii="Baskerville" w:hAnsi="Baskerville" w:cs="Times New Roman"/>
          <w:lang w:val="es-ES"/>
        </w:rPr>
        <w:t xml:space="preserve"> a este esquema se presenta respecto del control jurisdiccional de los actos reglamentarios dictados por estas autoridades. Entre otros casos, conforme al art. R. 311-1 del Código de la justicia administrativa, el Consejo de Estado es competente para conocer en primera y única instancia de las decisiones de control o de regulación dictadas por la autoridad de la libre competencia o por la autoridad de mercados financieros. </w:t>
      </w:r>
      <w:r w:rsidR="00041D16" w:rsidRPr="00D81472">
        <w:rPr>
          <w:rFonts w:ascii="Baskerville" w:hAnsi="Baskerville" w:cs="Times New Roman"/>
          <w:lang w:val="es-ES"/>
        </w:rPr>
        <w:t xml:space="preserve"> </w:t>
      </w:r>
    </w:p>
    <w:p w14:paraId="71896A6F" w14:textId="547BAE31" w:rsidR="00041D16" w:rsidRPr="00D81472" w:rsidRDefault="00041D16" w:rsidP="00D81472">
      <w:pPr>
        <w:spacing w:line="276" w:lineRule="auto"/>
        <w:jc w:val="both"/>
        <w:rPr>
          <w:rFonts w:ascii="Baskerville" w:hAnsi="Baskerville" w:cs="Times New Roman"/>
          <w:lang w:val="es-ES"/>
        </w:rPr>
      </w:pPr>
      <w:r w:rsidRPr="00D81472">
        <w:rPr>
          <w:rFonts w:ascii="Baskerville" w:hAnsi="Baskerville" w:cs="Times New Roman"/>
          <w:lang w:val="es-ES"/>
        </w:rPr>
        <w:t>La existencia de un orden jurisdiccional especializado en materias administrativas (como el existente en el derecho francés) no impide que ciertas materias sean conocidas por jueces “híper especializados”. Sin embargo, el control jurisdiccional de las autoridades de regulación económica en Francia es desarrollado por parte de las jurisdicciones administrativas de derecho común. Por regla general, se tratará de los Tribunales administrativos, de las Cortes de apelaciones administrativas y del Consejo de Estado</w:t>
      </w:r>
      <w:r w:rsidRPr="00D81472">
        <w:rPr>
          <w:rStyle w:val="Refdenotaalpie"/>
          <w:rFonts w:ascii="Baskerville" w:hAnsi="Baskerville" w:cs="Times New Roman"/>
          <w:lang w:val="es-ES"/>
        </w:rPr>
        <w:footnoteReference w:id="15"/>
      </w:r>
      <w:r w:rsidRPr="00D81472">
        <w:rPr>
          <w:rFonts w:ascii="Baskerville" w:hAnsi="Baskerville" w:cs="Times New Roman"/>
          <w:lang w:val="es-ES"/>
        </w:rPr>
        <w:t xml:space="preserve">. </w:t>
      </w:r>
    </w:p>
    <w:p w14:paraId="62DB1A7C" w14:textId="77777777" w:rsidR="00041D16" w:rsidRPr="00D81472" w:rsidRDefault="00041D16" w:rsidP="00D81472">
      <w:pPr>
        <w:spacing w:line="276" w:lineRule="auto"/>
        <w:jc w:val="both"/>
        <w:rPr>
          <w:rFonts w:ascii="Baskerville" w:hAnsi="Baskerville" w:cs="Times New Roman"/>
          <w:lang w:val="es-ES"/>
        </w:rPr>
      </w:pPr>
    </w:p>
    <w:p w14:paraId="2B31E0AD" w14:textId="70EDDD6C" w:rsidR="00C22656" w:rsidRPr="00D81472" w:rsidRDefault="00C22656" w:rsidP="00D81472">
      <w:pPr>
        <w:spacing w:line="276" w:lineRule="auto"/>
        <w:jc w:val="both"/>
        <w:rPr>
          <w:rFonts w:ascii="Baskerville" w:hAnsi="Baskerville" w:cs="Times New Roman"/>
          <w:lang w:val="es-ES"/>
        </w:rPr>
      </w:pPr>
      <w:r w:rsidRPr="00D81472">
        <w:rPr>
          <w:rFonts w:ascii="Baskerville" w:hAnsi="Baskerville" w:cs="Times New Roman"/>
          <w:lang w:val="es-ES"/>
        </w:rPr>
        <w:t xml:space="preserve">Por su parte en el derecho ingles el Competition Appeal Tribunal es una jurisdicción especializada, creada el 2002, como una excepción a las reglas generales del derecho inglés (al consagrar un único orden jurisdiccional, éste somete por regla general el contencioso administrativo al conocimiento del juez común). La naturaleza especial </w:t>
      </w:r>
      <w:r w:rsidRPr="00D81472">
        <w:rPr>
          <w:rFonts w:ascii="Baskerville" w:hAnsi="Baskerville" w:cs="Times New Roman"/>
          <w:lang w:val="es-ES"/>
        </w:rPr>
        <w:lastRenderedPageBreak/>
        <w:t>del tribunal que conoce de estas controversias -circunstancia que se refleja, entre otros aspectos, en la composición del tribunal- incide en la naturaleza del recurso admitido contra de sus decisiones, que son en principio revisables tanto por la Court of Appeal como por la Supreme Court. En efecto, de la sentencia del Competition Appeal Tribunal es posible apelar respecto de un punto de derecho (en los casos de multas, es posible recurrir ya sea en atención a su imposición como a su monto), ante un órgano jurisdiccional no especializado. Este variará según el caso. La apelación se presenta ante el Competition Appeal Tribunal y la resuelve, de acuerdo a la jurisdicción, el Tribunal de Apelaciones en Inglaterra y Gales; el Tribunal de Sesiones en Escocia; y el Tribunal de Apelación en Irlanda del</w:t>
      </w:r>
      <w:r w:rsidR="008A337A" w:rsidRPr="00D81472">
        <w:rPr>
          <w:rFonts w:ascii="Baskerville" w:hAnsi="Baskerville" w:cs="Times New Roman"/>
          <w:lang w:val="es-ES"/>
        </w:rPr>
        <w:t xml:space="preserve"> Norte. Tal apelación se debe hacer con por tanto previa solicitud al Competition Appeal Tribunal</w:t>
      </w:r>
      <w:r w:rsidR="00041D16" w:rsidRPr="00D81472">
        <w:rPr>
          <w:rStyle w:val="Refdenotaalpie"/>
          <w:rFonts w:ascii="Baskerville" w:hAnsi="Baskerville" w:cs="Times New Roman"/>
          <w:lang w:val="es-ES"/>
        </w:rPr>
        <w:footnoteReference w:id="16"/>
      </w:r>
      <w:r w:rsidR="00041D16" w:rsidRPr="00D81472">
        <w:rPr>
          <w:rFonts w:ascii="Baskerville" w:hAnsi="Baskerville" w:cs="Times New Roman"/>
          <w:lang w:val="es-ES"/>
        </w:rPr>
        <w:t>.</w:t>
      </w:r>
    </w:p>
    <w:p w14:paraId="4E7E3F5F" w14:textId="77777777" w:rsidR="00DF471E" w:rsidRPr="00D81472" w:rsidRDefault="00DF471E" w:rsidP="00D81472">
      <w:pPr>
        <w:spacing w:line="276" w:lineRule="auto"/>
        <w:jc w:val="both"/>
        <w:rPr>
          <w:rFonts w:ascii="Baskerville" w:hAnsi="Baskerville" w:cs="Times New Roman"/>
        </w:rPr>
      </w:pPr>
    </w:p>
    <w:p w14:paraId="50189A41" w14:textId="249687EB" w:rsidR="00631A36" w:rsidRPr="00D81472" w:rsidRDefault="008A337A" w:rsidP="00D81472">
      <w:pPr>
        <w:spacing w:line="276" w:lineRule="auto"/>
        <w:jc w:val="both"/>
        <w:rPr>
          <w:rFonts w:ascii="Baskerville" w:hAnsi="Baskerville" w:cs="Times New Roman"/>
        </w:rPr>
      </w:pPr>
      <w:r w:rsidRPr="00D81472">
        <w:rPr>
          <w:rFonts w:ascii="Baskerville" w:hAnsi="Baskerville" w:cs="Times New Roman"/>
        </w:rPr>
        <w:t>En Chile por la tanto, teniendo presente que la legislación sectorial de libre competencia, como ya hemos señalado, es mixta y solo contempla un tribual especialista, se propone que tal debiese el único en conocer técnica los hechos de los asuntos. En este de ideas</w:t>
      </w:r>
      <w:r w:rsidR="00DF471E" w:rsidRPr="00D81472">
        <w:rPr>
          <w:rFonts w:ascii="Baskerville" w:hAnsi="Baskerville" w:cs="Times New Roman"/>
        </w:rPr>
        <w:t xml:space="preserve"> se propone que el régimen recursivo en sede de libre competencia sea el de un </w:t>
      </w:r>
      <w:r w:rsidR="00DF471E" w:rsidRPr="00D81472">
        <w:rPr>
          <w:rFonts w:ascii="Baskerville" w:hAnsi="Baskerville" w:cs="Times New Roman"/>
          <w:b/>
          <w:u w:val="single"/>
        </w:rPr>
        <w:t>recurso de nulidad</w:t>
      </w:r>
      <w:r w:rsidR="00C80190" w:rsidRPr="00D81472">
        <w:rPr>
          <w:rFonts w:ascii="Baskerville" w:hAnsi="Baskerville" w:cs="Times New Roman"/>
        </w:rPr>
        <w:t xml:space="preserve"> </w:t>
      </w:r>
      <w:r w:rsidR="00DF471E" w:rsidRPr="00D81472">
        <w:rPr>
          <w:rFonts w:ascii="Baskerville" w:hAnsi="Baskerville" w:cs="Times New Roman"/>
        </w:rPr>
        <w:t xml:space="preserve">para las sentencias </w:t>
      </w:r>
      <w:r w:rsidR="004F518D" w:rsidRPr="00D81472">
        <w:rPr>
          <w:rFonts w:ascii="Baskerville" w:hAnsi="Baskerville" w:cs="Times New Roman"/>
        </w:rPr>
        <w:t>teniendo dos causales, primero,</w:t>
      </w:r>
      <w:r w:rsidR="00DF471E" w:rsidRPr="00D81472">
        <w:rPr>
          <w:rFonts w:ascii="Baskerville" w:hAnsi="Baskerville" w:cs="Times New Roman"/>
        </w:rPr>
        <w:t xml:space="preserve"> la errónea aplicación del derecho </w:t>
      </w:r>
      <w:r w:rsidR="00631A36" w:rsidRPr="00D81472">
        <w:rPr>
          <w:rFonts w:ascii="Baskerville" w:hAnsi="Baskerville" w:cs="Times New Roman"/>
        </w:rPr>
        <w:t xml:space="preserve">que haya influido sustancialmente en la sentencia </w:t>
      </w:r>
      <w:r w:rsidR="00DF471E" w:rsidRPr="00D81472">
        <w:rPr>
          <w:rFonts w:ascii="Baskerville" w:hAnsi="Baskerville" w:cs="Times New Roman"/>
        </w:rPr>
        <w:t>o</w:t>
      </w:r>
      <w:r w:rsidR="004F518D" w:rsidRPr="00D81472">
        <w:rPr>
          <w:rFonts w:ascii="Baskerville" w:hAnsi="Baskerville" w:cs="Times New Roman"/>
        </w:rPr>
        <w:t>, en segundo lugar,</w:t>
      </w:r>
      <w:r w:rsidR="00DF471E" w:rsidRPr="00D81472">
        <w:rPr>
          <w:rFonts w:ascii="Baskerville" w:hAnsi="Baskerville" w:cs="Times New Roman"/>
        </w:rPr>
        <w:t xml:space="preserve"> la vulneración de derechos constitucionales durante la tramitación de la</w:t>
      </w:r>
      <w:r w:rsidR="004F518D" w:rsidRPr="00D81472">
        <w:rPr>
          <w:rFonts w:ascii="Baskerville" w:hAnsi="Baskerville" w:cs="Times New Roman"/>
        </w:rPr>
        <w:t xml:space="preserve"> causa en primera instancia, como</w:t>
      </w:r>
      <w:r w:rsidR="00DF471E" w:rsidRPr="00D81472">
        <w:rPr>
          <w:rFonts w:ascii="Baskerville" w:hAnsi="Baskerville" w:cs="Times New Roman"/>
        </w:rPr>
        <w:t xml:space="preserve"> únicas maneras de impugnar tales dictámenes ante </w:t>
      </w:r>
      <w:r w:rsidR="00C80190" w:rsidRPr="00D81472">
        <w:rPr>
          <w:rFonts w:ascii="Baskerville" w:hAnsi="Baskerville" w:cs="Times New Roman"/>
        </w:rPr>
        <w:t>l</w:t>
      </w:r>
      <w:r w:rsidR="00DF471E" w:rsidRPr="00D81472">
        <w:rPr>
          <w:rFonts w:ascii="Baskerville" w:hAnsi="Baskerville" w:cs="Times New Roman"/>
        </w:rPr>
        <w:t>a Corte Suprema.</w:t>
      </w:r>
      <w:r w:rsidR="00631A36" w:rsidRPr="00D81472">
        <w:rPr>
          <w:rFonts w:ascii="Baskerville" w:hAnsi="Baskerville" w:cs="Times New Roman"/>
        </w:rPr>
        <w:t xml:space="preserve"> </w:t>
      </w:r>
    </w:p>
    <w:p w14:paraId="3DEE4DC4" w14:textId="77777777" w:rsidR="00631A36" w:rsidRPr="00D81472" w:rsidRDefault="00631A36" w:rsidP="00D81472">
      <w:pPr>
        <w:spacing w:line="276" w:lineRule="auto"/>
        <w:jc w:val="both"/>
        <w:rPr>
          <w:rFonts w:ascii="Baskerville" w:hAnsi="Baskerville" w:cs="Times New Roman"/>
        </w:rPr>
      </w:pPr>
    </w:p>
    <w:p w14:paraId="0BC98948" w14:textId="51A1D094" w:rsidR="00631A36" w:rsidRPr="00D81472" w:rsidRDefault="00631A36" w:rsidP="00D81472">
      <w:pPr>
        <w:spacing w:line="276" w:lineRule="auto"/>
        <w:jc w:val="both"/>
        <w:rPr>
          <w:rFonts w:ascii="Baskerville" w:hAnsi="Baskerville" w:cs="Times New Roman"/>
        </w:rPr>
      </w:pPr>
      <w:r w:rsidRPr="00D81472">
        <w:rPr>
          <w:rFonts w:ascii="Baskerville" w:hAnsi="Baskerville" w:cs="Times New Roman"/>
        </w:rPr>
        <w:t>Las razones para establecer estas dos causal</w:t>
      </w:r>
      <w:r w:rsidR="00013C98" w:rsidRPr="00D81472">
        <w:rPr>
          <w:rFonts w:ascii="Baskerville" w:hAnsi="Baskerville" w:cs="Times New Roman"/>
        </w:rPr>
        <w:t>es son las mismas que en sede Penal,</w:t>
      </w:r>
      <w:r w:rsidR="00C80190" w:rsidRPr="00D81472">
        <w:rPr>
          <w:rFonts w:ascii="Baskerville" w:hAnsi="Baskerville" w:cs="Times New Roman"/>
        </w:rPr>
        <w:t xml:space="preserve"> que también es un tribual experto en las materias que conoce,</w:t>
      </w:r>
      <w:r w:rsidR="00013C98" w:rsidRPr="00D81472">
        <w:rPr>
          <w:rFonts w:ascii="Baskerville" w:hAnsi="Baskerville" w:cs="Times New Roman"/>
        </w:rPr>
        <w:t xml:space="preserve"> así: “</w:t>
      </w:r>
      <w:r w:rsidRPr="00D81472">
        <w:rPr>
          <w:rFonts w:ascii="Baskerville" w:hAnsi="Baskerville" w:cs="Times New Roman"/>
        </w:rPr>
        <w:t>a saber: en primer término, la vulneración substantiva, por medio de errores </w:t>
      </w:r>
      <w:r w:rsidRPr="00D81472">
        <w:rPr>
          <w:rFonts w:ascii="Baskerville" w:hAnsi="Baskerville" w:cs="Times New Roman"/>
          <w:i/>
          <w:iCs/>
        </w:rPr>
        <w:t>in procedendo</w:t>
      </w:r>
      <w:r w:rsidRPr="00D81472">
        <w:rPr>
          <w:rFonts w:ascii="Baskerville" w:hAnsi="Baskerville" w:cs="Times New Roman"/>
        </w:rPr>
        <w:t> o </w:t>
      </w:r>
      <w:r w:rsidRPr="00D81472">
        <w:rPr>
          <w:rFonts w:ascii="Baskerville" w:hAnsi="Baskerville" w:cs="Times New Roman"/>
          <w:i/>
          <w:iCs/>
        </w:rPr>
        <w:t>in iudicando, </w:t>
      </w:r>
      <w:r w:rsidRPr="00D81472">
        <w:rPr>
          <w:rFonts w:ascii="Baskerville" w:hAnsi="Baskerville" w:cs="Times New Roman"/>
        </w:rPr>
        <w:t>de los derechos o garantías asegurados por la Constitución o por los tratados internacionales ratificados por Chile y actualmente vigentes, como medio de cautelar un racional y justo procedimiento; y en segundo lugar, el error en la correcta aplicación de la ley, pero ampliado de manera general a la acertada interpretación del Derecho tanto en su expresión adjetiva o substancial, es decir, sin señalar motivos taxativos que impidan incorporar otras fuentes formales integrantes del ordenamiento jurídico, como manera de lograr que el legislador tenga la certeza de que los jueces van a respetar estrictamente sus mandatos</w:t>
      </w:r>
      <w:r w:rsidR="00013C98" w:rsidRPr="00D81472">
        <w:rPr>
          <w:rFonts w:ascii="Baskerville" w:hAnsi="Baskerville" w:cs="Times New Roman"/>
        </w:rPr>
        <w:t>”</w:t>
      </w:r>
      <w:r w:rsidR="00013C98" w:rsidRPr="00D81472">
        <w:rPr>
          <w:rStyle w:val="Refdenotaalpie"/>
          <w:rFonts w:ascii="Baskerville" w:hAnsi="Baskerville" w:cs="Times New Roman"/>
        </w:rPr>
        <w:footnoteReference w:id="17"/>
      </w:r>
      <w:r w:rsidR="00013C98" w:rsidRPr="00D81472">
        <w:rPr>
          <w:rFonts w:ascii="Baskerville" w:hAnsi="Baskerville" w:cs="Times New Roman"/>
        </w:rPr>
        <w:t xml:space="preserve">. </w:t>
      </w:r>
    </w:p>
    <w:p w14:paraId="6093559C" w14:textId="77777777" w:rsidR="00EF622E" w:rsidRPr="00D81472" w:rsidRDefault="00EF622E" w:rsidP="00D81472">
      <w:pPr>
        <w:spacing w:line="276" w:lineRule="auto"/>
        <w:jc w:val="both"/>
        <w:rPr>
          <w:rFonts w:ascii="Baskerville" w:hAnsi="Baskerville" w:cs="Times New Roman"/>
        </w:rPr>
      </w:pPr>
    </w:p>
    <w:p w14:paraId="1736BFA3" w14:textId="3D6F3BD7" w:rsidR="00B90CA5" w:rsidRPr="00D81472" w:rsidRDefault="00013C98" w:rsidP="00D81472">
      <w:pPr>
        <w:spacing w:line="276" w:lineRule="auto"/>
        <w:jc w:val="both"/>
        <w:rPr>
          <w:rFonts w:ascii="Baskerville" w:hAnsi="Baskerville" w:cs="Times New Roman"/>
        </w:rPr>
      </w:pPr>
      <w:r w:rsidRPr="00D81472">
        <w:rPr>
          <w:rFonts w:ascii="Baskerville" w:hAnsi="Baskerville" w:cs="Times New Roman"/>
        </w:rPr>
        <w:t>De este modo, lo que se pretende es limitar el conocimiento de la Corte Suprema a sólo elementos de derecho de la sentencia del TDLC y que no pueda atribuirse la facultad de conocer los hechos que fundamentaron la sentencia en primera instancia.</w:t>
      </w:r>
      <w:r w:rsidR="00627521" w:rsidRPr="00D81472">
        <w:rPr>
          <w:rFonts w:ascii="Baskerville" w:hAnsi="Baskerville" w:cs="Times New Roman"/>
        </w:rPr>
        <w:t xml:space="preserve"> Reservando para el tribunal técnico la apreciación de elementos de carácter económico.</w:t>
      </w:r>
      <w:r w:rsidRPr="00D81472">
        <w:rPr>
          <w:rFonts w:ascii="Baskerville" w:hAnsi="Baskerville" w:cs="Times New Roman"/>
        </w:rPr>
        <w:t xml:space="preserve"> </w:t>
      </w:r>
      <w:r w:rsidR="00DF471E" w:rsidRPr="00D81472">
        <w:rPr>
          <w:rFonts w:ascii="Baskerville" w:hAnsi="Baskerville" w:cs="Times New Roman"/>
        </w:rPr>
        <w:t xml:space="preserve"> </w:t>
      </w:r>
    </w:p>
    <w:p w14:paraId="50200627" w14:textId="77777777" w:rsidR="000F6D67" w:rsidRPr="00D81472" w:rsidRDefault="000F6D67" w:rsidP="00D81472">
      <w:pPr>
        <w:spacing w:line="276" w:lineRule="auto"/>
        <w:jc w:val="both"/>
        <w:rPr>
          <w:rFonts w:ascii="Baskerville" w:hAnsi="Baskerville" w:cs="Times New Roman"/>
        </w:rPr>
      </w:pPr>
    </w:p>
    <w:p w14:paraId="0024662D" w14:textId="0F708B5E" w:rsidR="006B2F57" w:rsidRPr="00D81472" w:rsidRDefault="00EF622E" w:rsidP="00D81472">
      <w:pPr>
        <w:spacing w:line="276" w:lineRule="auto"/>
        <w:jc w:val="both"/>
        <w:rPr>
          <w:rFonts w:ascii="Baskerville" w:hAnsi="Baskerville" w:cs="Times New Roman"/>
        </w:rPr>
      </w:pPr>
      <w:r w:rsidRPr="00D81472">
        <w:rPr>
          <w:rFonts w:ascii="Baskerville" w:hAnsi="Baskerville" w:cs="Times New Roman"/>
        </w:rPr>
        <w:t>En este sentido,</w:t>
      </w:r>
      <w:r w:rsidR="000F6D67" w:rsidRPr="00D81472">
        <w:rPr>
          <w:rFonts w:ascii="Baskerville" w:hAnsi="Baskerville" w:cs="Times New Roman"/>
        </w:rPr>
        <w:t xml:space="preserve"> es necesario que la impugnación de las sentencias emanadas de la potestad jurisdiccional del Tribunal de Defensa de la Libre Competencia sea acotada, debiendo ser procedente sólo cuando se infrinjan derechos a las partes interesadas, so pena de arriesgar que las políticas públicas de defensa de Libre Competencia las termine decidiendo un tribunal en un sistema binario de solo ganadores y perdedores.</w:t>
      </w:r>
      <w:r w:rsidR="006B2F57" w:rsidRPr="00D81472">
        <w:rPr>
          <w:rFonts w:ascii="Baskerville" w:hAnsi="Baskerville" w:cs="Times New Roman"/>
        </w:rPr>
        <w:t xml:space="preserve"> </w:t>
      </w:r>
    </w:p>
    <w:p w14:paraId="39776815" w14:textId="77777777" w:rsidR="00631A36" w:rsidRPr="00D81472" w:rsidRDefault="00631A36" w:rsidP="00D81472">
      <w:pPr>
        <w:spacing w:line="276" w:lineRule="auto"/>
        <w:jc w:val="both"/>
        <w:rPr>
          <w:rFonts w:ascii="Baskerville" w:hAnsi="Baskerville" w:cs="Times New Roman"/>
        </w:rPr>
      </w:pPr>
    </w:p>
    <w:p w14:paraId="5536EC04" w14:textId="1DEC8096" w:rsidR="0021012D" w:rsidRPr="00D81472" w:rsidRDefault="00D81472" w:rsidP="00D81472">
      <w:pPr>
        <w:spacing w:line="276" w:lineRule="auto"/>
        <w:jc w:val="both"/>
        <w:rPr>
          <w:rFonts w:ascii="Baskerville" w:hAnsi="Baskerville" w:cs="Times New Roman"/>
          <w:b/>
          <w:u w:val="single"/>
        </w:rPr>
      </w:pPr>
      <w:r w:rsidRPr="00D81472">
        <w:rPr>
          <w:rFonts w:ascii="Baskerville" w:hAnsi="Baskerville" w:cs="Times New Roman"/>
          <w:b/>
          <w:u w:val="single"/>
        </w:rPr>
        <w:t>Normativa actual</w:t>
      </w:r>
      <w:r w:rsidR="002608EE" w:rsidRPr="00D81472">
        <w:rPr>
          <w:rFonts w:ascii="Baskerville" w:hAnsi="Baskerville" w:cs="Times New Roman"/>
          <w:b/>
          <w:u w:val="single"/>
        </w:rPr>
        <w:t>.</w:t>
      </w:r>
    </w:p>
    <w:p w14:paraId="34E0D03C" w14:textId="77777777" w:rsidR="00631A36" w:rsidRPr="00D81472" w:rsidRDefault="00631A36" w:rsidP="00D81472">
      <w:pPr>
        <w:spacing w:line="276" w:lineRule="auto"/>
        <w:jc w:val="both"/>
        <w:rPr>
          <w:rFonts w:ascii="Baskerville" w:hAnsi="Baskerville" w:cs="Times New Roman"/>
          <w:b/>
          <w:u w:val="single"/>
        </w:rPr>
      </w:pPr>
    </w:p>
    <w:p w14:paraId="0C5B9317" w14:textId="4C10F6D1" w:rsidR="00627521" w:rsidRPr="00D81472" w:rsidRDefault="00627521" w:rsidP="00D81472">
      <w:pPr>
        <w:spacing w:line="276" w:lineRule="auto"/>
        <w:jc w:val="both"/>
        <w:rPr>
          <w:rFonts w:ascii="Baskerville" w:hAnsi="Baskerville" w:cs="Times New Roman"/>
        </w:rPr>
      </w:pPr>
      <w:r w:rsidRPr="00D81472">
        <w:rPr>
          <w:rFonts w:ascii="Baskerville" w:hAnsi="Baskerville" w:cs="Times New Roman"/>
        </w:rPr>
        <w:t xml:space="preserve">La actual normativa regula el recurso de reclamación de la siguiente manera: </w:t>
      </w:r>
    </w:p>
    <w:p w14:paraId="72AA17C3" w14:textId="77777777" w:rsidR="00914CB1" w:rsidRPr="00D81472" w:rsidRDefault="00914CB1" w:rsidP="00D81472">
      <w:pPr>
        <w:spacing w:line="276" w:lineRule="auto"/>
        <w:jc w:val="both"/>
        <w:rPr>
          <w:rFonts w:ascii="Baskerville" w:hAnsi="Baskerville" w:cs="Times New Roman"/>
        </w:rPr>
      </w:pPr>
    </w:p>
    <w:p w14:paraId="41D9917C" w14:textId="26645EB6" w:rsidR="00627521" w:rsidRPr="00D81472" w:rsidRDefault="00627521" w:rsidP="00D814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694" w:right="2317"/>
        <w:jc w:val="both"/>
        <w:rPr>
          <w:rFonts w:ascii="Baskerville" w:hAnsi="Baskerville" w:cs="Courier"/>
          <w:color w:val="666666"/>
        </w:rPr>
      </w:pPr>
      <w:r w:rsidRPr="00D81472">
        <w:rPr>
          <w:rFonts w:ascii="Baskerville" w:hAnsi="Baskerville" w:cs="Courier"/>
          <w:b/>
          <w:color w:val="666666"/>
        </w:rPr>
        <w:t>Artículo 27º.-</w:t>
      </w:r>
      <w:r w:rsidRPr="00D81472">
        <w:rPr>
          <w:rFonts w:ascii="Baskerville" w:hAnsi="Baskerville" w:cs="Courier"/>
          <w:color w:val="666666"/>
        </w:rPr>
        <w:t xml:space="preserve"> Las resoluciones </w:t>
      </w:r>
      <w:r w:rsidRPr="00D81472">
        <w:rPr>
          <w:rFonts w:ascii="Baskerville" w:hAnsi="Baskerville" w:cs="Courier"/>
          <w:color w:val="666666"/>
        </w:rPr>
        <w:br/>
        <w:t xml:space="preserve">pronunciadas por el Tribunal de Defensa </w:t>
      </w:r>
      <w:r w:rsidRPr="00D81472">
        <w:rPr>
          <w:rFonts w:ascii="Baskerville" w:hAnsi="Baskerville" w:cs="Courier"/>
          <w:color w:val="666666"/>
        </w:rPr>
        <w:br/>
        <w:t xml:space="preserve">de la Libre Competencia, salvo la sentencia definitiva, serán susceptibles del recurso de </w:t>
      </w:r>
      <w:r w:rsidRPr="00D81472">
        <w:rPr>
          <w:rFonts w:ascii="Baskerville" w:hAnsi="Baskerville" w:cs="Courier"/>
          <w:color w:val="666666"/>
        </w:rPr>
        <w:br/>
        <w:t xml:space="preserve">reposición, al que podrá darse </w:t>
      </w:r>
      <w:r w:rsidRPr="00D81472">
        <w:rPr>
          <w:rFonts w:ascii="Baskerville" w:hAnsi="Baskerville" w:cs="Courier"/>
          <w:color w:val="666666"/>
        </w:rPr>
        <w:br/>
        <w:t xml:space="preserve">tramitación incidental o ser resuelto </w:t>
      </w:r>
      <w:r w:rsidRPr="00D81472">
        <w:rPr>
          <w:rFonts w:ascii="Baskerville" w:hAnsi="Baskerville" w:cs="Courier"/>
          <w:color w:val="666666"/>
        </w:rPr>
        <w:br/>
        <w:t>de plano.</w:t>
      </w:r>
    </w:p>
    <w:p w14:paraId="348B4B96" w14:textId="77777777" w:rsidR="00C831F3" w:rsidRPr="00D81472" w:rsidRDefault="00627521" w:rsidP="00D81472">
      <w:pPr>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line="276" w:lineRule="auto"/>
        <w:ind w:left="2694" w:right="2317"/>
        <w:jc w:val="both"/>
        <w:rPr>
          <w:rFonts w:ascii="Baskerville" w:hAnsi="Baskerville" w:cs="Courier"/>
          <w:color w:val="666666"/>
        </w:rPr>
      </w:pPr>
      <w:r w:rsidRPr="00D81472">
        <w:rPr>
          <w:rFonts w:ascii="Baskerville" w:hAnsi="Baskerville" w:cs="Courier"/>
          <w:color w:val="666666"/>
        </w:rPr>
        <w:br/>
        <w:t xml:space="preserve">   </w:t>
      </w:r>
      <w:r w:rsidRPr="00D81472">
        <w:rPr>
          <w:rFonts w:ascii="Baskerville" w:hAnsi="Baskerville" w:cs="Courier"/>
          <w:b/>
          <w:color w:val="666666"/>
          <w:u w:val="single"/>
        </w:rPr>
        <w:t xml:space="preserve">Sólo será susceptible de recurso </w:t>
      </w:r>
      <w:r w:rsidRPr="00D81472">
        <w:rPr>
          <w:rFonts w:ascii="Baskerville" w:hAnsi="Baskerville" w:cs="Courier"/>
          <w:b/>
          <w:color w:val="666666"/>
          <w:u w:val="single"/>
        </w:rPr>
        <w:br/>
        <w:t xml:space="preserve">de reclamación, para ante la Corte </w:t>
      </w:r>
      <w:r w:rsidRPr="00D81472">
        <w:rPr>
          <w:rFonts w:ascii="Baskerville" w:hAnsi="Baskerville" w:cs="Courier"/>
          <w:b/>
          <w:color w:val="666666"/>
          <w:u w:val="single"/>
        </w:rPr>
        <w:br/>
        <w:t>Suprem</w:t>
      </w:r>
      <w:r w:rsidR="00914CB1" w:rsidRPr="00D81472">
        <w:rPr>
          <w:rFonts w:ascii="Baskerville" w:hAnsi="Baskerville" w:cs="Courier"/>
          <w:b/>
          <w:color w:val="666666"/>
          <w:u w:val="single"/>
        </w:rPr>
        <w:t xml:space="preserve">a, la sentencia definitiva que </w:t>
      </w:r>
      <w:r w:rsidRPr="00D81472">
        <w:rPr>
          <w:rFonts w:ascii="Baskerville" w:hAnsi="Baskerville" w:cs="Courier"/>
          <w:b/>
          <w:color w:val="666666"/>
          <w:u w:val="single"/>
        </w:rPr>
        <w:t>impong</w:t>
      </w:r>
      <w:r w:rsidR="00914CB1" w:rsidRPr="00D81472">
        <w:rPr>
          <w:rFonts w:ascii="Baskerville" w:hAnsi="Baskerville" w:cs="Courier"/>
          <w:b/>
          <w:color w:val="666666"/>
          <w:u w:val="single"/>
        </w:rPr>
        <w:t xml:space="preserve">a alguna de las medidas que se </w:t>
      </w:r>
      <w:r w:rsidRPr="00D81472">
        <w:rPr>
          <w:rFonts w:ascii="Baskerville" w:hAnsi="Baskerville" w:cs="Courier"/>
          <w:b/>
          <w:color w:val="666666"/>
          <w:u w:val="single"/>
        </w:rPr>
        <w:t>cont</w:t>
      </w:r>
      <w:r w:rsidR="00914CB1" w:rsidRPr="00D81472">
        <w:rPr>
          <w:rFonts w:ascii="Baskerville" w:hAnsi="Baskerville" w:cs="Courier"/>
          <w:b/>
          <w:color w:val="666666"/>
          <w:u w:val="single"/>
        </w:rPr>
        <w:t xml:space="preserve">emplan en el artículo 26, como también la que absuelva de la </w:t>
      </w:r>
      <w:r w:rsidRPr="00D81472">
        <w:rPr>
          <w:rFonts w:ascii="Baskerville" w:hAnsi="Baskerville" w:cs="Courier"/>
          <w:b/>
          <w:color w:val="666666"/>
          <w:u w:val="single"/>
        </w:rPr>
        <w:t>aplicación de dichas medidas.</w:t>
      </w:r>
      <w:r w:rsidR="00914CB1" w:rsidRPr="00D81472">
        <w:rPr>
          <w:rFonts w:ascii="Baskerville" w:hAnsi="Baskerville" w:cs="Courier"/>
          <w:color w:val="666666"/>
        </w:rPr>
        <w:t>(…)</w:t>
      </w:r>
    </w:p>
    <w:p w14:paraId="2FA16923" w14:textId="5EDF7C67" w:rsidR="00631A36" w:rsidRPr="00D81472" w:rsidRDefault="00627521" w:rsidP="00D81472">
      <w:pPr>
        <w:shd w:val="clear" w:color="auto" w:fill="FFFFFF"/>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line="276" w:lineRule="auto"/>
        <w:ind w:left="2694" w:right="2317"/>
        <w:jc w:val="both"/>
        <w:rPr>
          <w:rFonts w:ascii="Baskerville" w:hAnsi="Baskerville" w:cs="Times New Roman"/>
        </w:rPr>
      </w:pPr>
      <w:r w:rsidRPr="00D81472">
        <w:rPr>
          <w:rFonts w:ascii="Baskerville" w:hAnsi="Baskerville" w:cs="Courier"/>
          <w:color w:val="666666"/>
        </w:rPr>
        <w:br/>
      </w:r>
    </w:p>
    <w:p w14:paraId="6FBB5C3F" w14:textId="68B65830" w:rsidR="00914CB1" w:rsidRPr="00D81472" w:rsidRDefault="00914CB1" w:rsidP="00D81472">
      <w:pPr>
        <w:spacing w:line="276" w:lineRule="auto"/>
        <w:jc w:val="both"/>
        <w:rPr>
          <w:rFonts w:ascii="Baskerville" w:hAnsi="Baskerville" w:cs="Times New Roman"/>
        </w:rPr>
      </w:pPr>
      <w:r w:rsidRPr="00D81472">
        <w:rPr>
          <w:rFonts w:ascii="Baskerville" w:hAnsi="Baskerville" w:cs="Times New Roman"/>
        </w:rPr>
        <w:lastRenderedPageBreak/>
        <w:t xml:space="preserve">Como nuestra tesis pretende limitar el conocimiento de la Corte Suprema </w:t>
      </w:r>
      <w:r w:rsidR="00C80190" w:rsidRPr="00D81472">
        <w:rPr>
          <w:rFonts w:ascii="Baskerville" w:hAnsi="Baskerville" w:cs="Times New Roman"/>
        </w:rPr>
        <w:t>a só</w:t>
      </w:r>
      <w:r w:rsidRPr="00D81472">
        <w:rPr>
          <w:rFonts w:ascii="Baskerville" w:hAnsi="Baskerville" w:cs="Times New Roman"/>
        </w:rPr>
        <w:t xml:space="preserve">lo argumentos de derecho, un Proyecto de Ley debiese ir en el siguiente tenor: </w:t>
      </w:r>
    </w:p>
    <w:p w14:paraId="145D7252" w14:textId="77777777" w:rsidR="00D81472" w:rsidRPr="00D81472" w:rsidRDefault="00D81472" w:rsidP="00D81472">
      <w:pPr>
        <w:spacing w:line="276" w:lineRule="auto"/>
        <w:jc w:val="both"/>
        <w:rPr>
          <w:rFonts w:ascii="Baskerville" w:hAnsi="Baskerville" w:cs="Times New Roman"/>
          <w:b/>
          <w:u w:val="single"/>
        </w:rPr>
      </w:pPr>
    </w:p>
    <w:p w14:paraId="21261B52" w14:textId="77777777" w:rsidR="00D81472" w:rsidRPr="00D81472" w:rsidRDefault="00D81472" w:rsidP="00D81472">
      <w:pPr>
        <w:spacing w:line="276" w:lineRule="auto"/>
        <w:jc w:val="both"/>
        <w:rPr>
          <w:rFonts w:ascii="Baskerville" w:hAnsi="Baskerville" w:cs="Times New Roman"/>
          <w:b/>
          <w:u w:val="single"/>
        </w:rPr>
      </w:pPr>
      <w:r w:rsidRPr="00D81472">
        <w:rPr>
          <w:rFonts w:ascii="Baskerville" w:hAnsi="Baskerville" w:cs="Times New Roman"/>
          <w:b/>
          <w:u w:val="single"/>
        </w:rPr>
        <w:t xml:space="preserve">Conclusiones.  </w:t>
      </w:r>
    </w:p>
    <w:p w14:paraId="4DF2EB96" w14:textId="77777777" w:rsidR="00D81472" w:rsidRPr="00D81472" w:rsidRDefault="00D81472" w:rsidP="00D81472">
      <w:pPr>
        <w:spacing w:line="276" w:lineRule="auto"/>
        <w:jc w:val="both"/>
        <w:rPr>
          <w:rFonts w:ascii="Baskerville" w:hAnsi="Baskerville" w:cs="Times New Roman"/>
          <w:b/>
          <w:u w:val="single"/>
        </w:rPr>
      </w:pPr>
    </w:p>
    <w:p w14:paraId="7B44A850" w14:textId="77777777" w:rsidR="00D81472" w:rsidRPr="00D81472" w:rsidRDefault="00D81472" w:rsidP="00D81472">
      <w:pPr>
        <w:spacing w:line="276" w:lineRule="auto"/>
        <w:jc w:val="both"/>
        <w:rPr>
          <w:rFonts w:ascii="Baskerville" w:hAnsi="Baskerville" w:cs="Times New Roman"/>
        </w:rPr>
      </w:pPr>
      <w:r w:rsidRPr="00D81472">
        <w:rPr>
          <w:rFonts w:ascii="Baskerville" w:hAnsi="Baskerville" w:cs="Times New Roman"/>
        </w:rPr>
        <w:t xml:space="preserve">Así las cosas, podemos señalar que las facultades que detenta el Tribunal de Defensa de la Libre Competencia lo posicionan como una anomalía jurídica si lo comparamos con los demás tribunales ordinarios del país, los cuales no cumplen una función activa en la implementación y resguardo de políticas públicas dentro de un determinado sector. </w:t>
      </w:r>
    </w:p>
    <w:p w14:paraId="13FA0891" w14:textId="77777777" w:rsidR="00D81472" w:rsidRPr="00D81472" w:rsidRDefault="00D81472" w:rsidP="00D81472">
      <w:pPr>
        <w:spacing w:line="276" w:lineRule="auto"/>
        <w:jc w:val="both"/>
        <w:rPr>
          <w:rFonts w:ascii="Baskerville" w:hAnsi="Baskerville" w:cs="Times New Roman"/>
        </w:rPr>
      </w:pPr>
    </w:p>
    <w:p w14:paraId="7A274DC2" w14:textId="77777777" w:rsidR="00D81472" w:rsidRPr="00D81472" w:rsidRDefault="00D81472" w:rsidP="00D81472">
      <w:pPr>
        <w:spacing w:line="276" w:lineRule="auto"/>
        <w:jc w:val="both"/>
        <w:rPr>
          <w:rFonts w:ascii="Baskerville" w:hAnsi="Baskerville" w:cs="Times New Roman"/>
        </w:rPr>
      </w:pPr>
      <w:r w:rsidRPr="00D81472">
        <w:rPr>
          <w:rFonts w:ascii="Baskerville" w:hAnsi="Baskerville" w:cs="Times New Roman"/>
        </w:rPr>
        <w:t xml:space="preserve">En la misma línea analizamos que el órgano del Estado llamado a revisar las sentencias del TDLC es un tribunal generalista que no es experto en la materia y que sin embargo, debido a la amplitud de competencia por el mismo definida, se ha sentido con la facultad de revisar los antecedentes de hecho y de derecho analizados por el TDLC en su rol de primera instancia. </w:t>
      </w:r>
    </w:p>
    <w:p w14:paraId="50DEF653" w14:textId="77777777" w:rsidR="00D81472" w:rsidRPr="00D81472" w:rsidRDefault="00D81472" w:rsidP="00D81472">
      <w:pPr>
        <w:spacing w:line="276" w:lineRule="auto"/>
        <w:jc w:val="both"/>
        <w:rPr>
          <w:rFonts w:ascii="Baskerville" w:hAnsi="Baskerville" w:cs="Times New Roman"/>
        </w:rPr>
      </w:pPr>
    </w:p>
    <w:p w14:paraId="149CA8E5" w14:textId="77777777" w:rsidR="00D81472" w:rsidRPr="00D81472" w:rsidRDefault="00D81472" w:rsidP="00D81472">
      <w:pPr>
        <w:spacing w:line="276" w:lineRule="auto"/>
        <w:jc w:val="both"/>
        <w:rPr>
          <w:rFonts w:ascii="Baskerville" w:hAnsi="Baskerville" w:cs="Times New Roman"/>
        </w:rPr>
      </w:pPr>
      <w:r w:rsidRPr="00D81472">
        <w:rPr>
          <w:rFonts w:ascii="Baskerville" w:hAnsi="Baskerville" w:cs="Times New Roman"/>
        </w:rPr>
        <w:t>De esta manera llegamos a la convicción de que e</w:t>
      </w:r>
      <w:r w:rsidRPr="00D81472">
        <w:rPr>
          <w:rFonts w:ascii="Baskerville" w:hAnsi="Baskerville" w:cs="Times New Roman"/>
          <w:i/>
        </w:rPr>
        <w:t xml:space="preserve">sta intromisión en el debate de política pública de un tribunal no es aceptable, debido a que por la naturaleza binaria de sus decisiones, siempre habrán ganadores y perdedores, poniendo en riesgo el orden completo de un sistema que debiese propender a estar mas cerca de un buen diseño, tanto técnico como social, que de una decisión absoluta de un tribunal. </w:t>
      </w:r>
      <w:r w:rsidRPr="00D81472">
        <w:rPr>
          <w:rFonts w:ascii="Baskerville" w:hAnsi="Baskerville" w:cs="Times New Roman"/>
        </w:rPr>
        <w:t xml:space="preserve"> </w:t>
      </w:r>
    </w:p>
    <w:p w14:paraId="59080B64" w14:textId="77777777" w:rsidR="00D81472" w:rsidRPr="00D81472" w:rsidRDefault="00D81472" w:rsidP="00D81472">
      <w:pPr>
        <w:spacing w:line="276" w:lineRule="auto"/>
        <w:jc w:val="both"/>
        <w:rPr>
          <w:rFonts w:ascii="Baskerville" w:hAnsi="Baskerville" w:cs="Times New Roman"/>
        </w:rPr>
      </w:pPr>
    </w:p>
    <w:p w14:paraId="24A9EFFE" w14:textId="77777777" w:rsidR="00D81472" w:rsidRPr="00D81472" w:rsidRDefault="00D81472" w:rsidP="00D81472">
      <w:pPr>
        <w:spacing w:line="276" w:lineRule="auto"/>
        <w:jc w:val="both"/>
        <w:rPr>
          <w:rFonts w:ascii="Baskerville" w:hAnsi="Baskerville" w:cs="Times New Roman"/>
        </w:rPr>
      </w:pPr>
      <w:r w:rsidRPr="00D81472">
        <w:rPr>
          <w:rFonts w:ascii="Baskerville" w:hAnsi="Baskerville" w:cs="Times New Roman"/>
        </w:rPr>
        <w:t xml:space="preserve">En consecuencia con dichas conclusiones proponemos que el sistema recursivo sea revisado y modificado restringiendo el alcance del modo de impugnar las sentencias definitivas. En este sentido se considera que sea el recurso de nulidad como el método mas acertado para la revisión de este tipo de resoluciones por arte de la Corte Suprema. </w:t>
      </w:r>
    </w:p>
    <w:p w14:paraId="2668B5FF" w14:textId="77777777" w:rsidR="00D81472" w:rsidRPr="00D81472" w:rsidRDefault="00D81472" w:rsidP="00D81472">
      <w:pPr>
        <w:spacing w:line="276" w:lineRule="auto"/>
        <w:jc w:val="both"/>
        <w:rPr>
          <w:rFonts w:ascii="Baskerville" w:hAnsi="Baskerville" w:cs="Times New Roman"/>
        </w:rPr>
      </w:pPr>
    </w:p>
    <w:p w14:paraId="1A1ABF7F" w14:textId="77777777" w:rsidR="00D81472" w:rsidRPr="00D81472" w:rsidRDefault="00D81472" w:rsidP="00D81472">
      <w:pPr>
        <w:spacing w:line="276" w:lineRule="auto"/>
        <w:jc w:val="both"/>
        <w:rPr>
          <w:rFonts w:ascii="Baskerville" w:hAnsi="Baskerville" w:cs="Times New Roman"/>
        </w:rPr>
      </w:pPr>
      <w:r w:rsidRPr="00D81472">
        <w:rPr>
          <w:rFonts w:ascii="Baskerville" w:hAnsi="Baskerville" w:cs="Times New Roman"/>
        </w:rPr>
        <w:t xml:space="preserve">Para lo anterior, revisamos el debate en torno al proyecto de ley que definió al recurso de reclamación y analizamos que los argumentos que fueron plausibles en aquella época no lo serían del todo adecuados en la actualidad debido a que las reformas legales que entraron en vigencia el año 2016 cambian el escenario, dándole al TDLC margen mas estricto para la aplicaciones de penas y sanciones.  </w:t>
      </w:r>
    </w:p>
    <w:p w14:paraId="0F312609" w14:textId="77777777" w:rsidR="00D81472" w:rsidRPr="00D81472" w:rsidRDefault="00D81472" w:rsidP="00D81472">
      <w:pPr>
        <w:spacing w:line="276" w:lineRule="auto"/>
        <w:jc w:val="both"/>
        <w:rPr>
          <w:rFonts w:ascii="Baskerville" w:hAnsi="Baskerville" w:cs="Times New Roman"/>
        </w:rPr>
      </w:pPr>
    </w:p>
    <w:p w14:paraId="624F5CF2" w14:textId="79FED849" w:rsidR="00914CB1" w:rsidRPr="00D81472" w:rsidRDefault="00D81472" w:rsidP="00D81472">
      <w:pPr>
        <w:spacing w:line="276" w:lineRule="auto"/>
        <w:jc w:val="both"/>
        <w:rPr>
          <w:rFonts w:ascii="Baskerville" w:hAnsi="Baskerville" w:cs="Times New Roman"/>
        </w:rPr>
      </w:pPr>
      <w:r w:rsidRPr="00D81472">
        <w:rPr>
          <w:rFonts w:ascii="Baskerville" w:hAnsi="Baskerville" w:cs="Times New Roman"/>
        </w:rPr>
        <w:lastRenderedPageBreak/>
        <w:t xml:space="preserve">Finalmente se mencionan las características del recurso de nulidad y se propone una redacción del proyecto de ley que vendría a solucionar la problemática analizada en este </w:t>
      </w:r>
      <w:r w:rsidR="00E464C5">
        <w:rPr>
          <w:rFonts w:ascii="Baskerville" w:hAnsi="Baskerville" w:cs="Times New Roman"/>
        </w:rPr>
        <w:t>proyecto de ley.</w:t>
      </w:r>
    </w:p>
    <w:p w14:paraId="5FF780BD" w14:textId="77777777" w:rsidR="00D81472" w:rsidRPr="00D81472" w:rsidRDefault="00D81472" w:rsidP="00D81472">
      <w:pPr>
        <w:spacing w:line="276" w:lineRule="auto"/>
        <w:jc w:val="both"/>
        <w:rPr>
          <w:rFonts w:ascii="Baskerville" w:hAnsi="Baskerville" w:cs="Times New Roman"/>
        </w:rPr>
      </w:pPr>
    </w:p>
    <w:p w14:paraId="3512C168" w14:textId="2D15E4DF" w:rsidR="00D81472" w:rsidRPr="00D81472" w:rsidRDefault="00D81472" w:rsidP="00D81472">
      <w:pPr>
        <w:spacing w:line="276" w:lineRule="auto"/>
        <w:jc w:val="both"/>
        <w:rPr>
          <w:rFonts w:ascii="Baskerville" w:hAnsi="Baskerville" w:cs="Times New Roman"/>
        </w:rPr>
      </w:pPr>
      <w:r w:rsidRPr="00D81472">
        <w:rPr>
          <w:rFonts w:ascii="Baskerville" w:hAnsi="Baskerville" w:cs="Times New Roman"/>
        </w:rPr>
        <w:t xml:space="preserve">Por las consideraciones antes expuestas, se propone el siguiente: </w:t>
      </w:r>
    </w:p>
    <w:p w14:paraId="2FCBA804" w14:textId="77777777" w:rsidR="005E35FA" w:rsidRDefault="005E35FA">
      <w:pPr>
        <w:rPr>
          <w:rFonts w:ascii="Baskerville" w:hAnsi="Baskerville" w:cs="Times New Roman"/>
        </w:rPr>
      </w:pPr>
      <w:r>
        <w:rPr>
          <w:rFonts w:ascii="Baskerville" w:hAnsi="Baskerville" w:cs="Times New Roman"/>
        </w:rPr>
        <w:br w:type="page"/>
      </w:r>
    </w:p>
    <w:p w14:paraId="6F260C62" w14:textId="76EAFBD2" w:rsidR="00914CB1" w:rsidRPr="00D81472" w:rsidRDefault="00D81472" w:rsidP="00D81472">
      <w:pPr>
        <w:spacing w:line="276" w:lineRule="auto"/>
        <w:jc w:val="center"/>
        <w:rPr>
          <w:rFonts w:ascii="Baskerville" w:hAnsi="Baskerville" w:cs="Times New Roman"/>
          <w:b/>
          <w:u w:val="single"/>
        </w:rPr>
      </w:pPr>
      <w:r w:rsidRPr="00D81472">
        <w:rPr>
          <w:rFonts w:ascii="Baskerville" w:hAnsi="Baskerville" w:cs="Times New Roman"/>
          <w:b/>
          <w:u w:val="single"/>
        </w:rPr>
        <w:lastRenderedPageBreak/>
        <w:t>PROYECTO DE LEY</w:t>
      </w:r>
    </w:p>
    <w:p w14:paraId="5972453E" w14:textId="77777777" w:rsidR="006E0376" w:rsidRPr="00D81472" w:rsidRDefault="006E0376" w:rsidP="00D81472">
      <w:pPr>
        <w:spacing w:line="276" w:lineRule="auto"/>
        <w:jc w:val="both"/>
        <w:rPr>
          <w:rFonts w:ascii="Baskerville" w:hAnsi="Baskerville" w:cs="Times New Roman"/>
          <w:b/>
          <w:u w:val="single"/>
        </w:rPr>
      </w:pPr>
    </w:p>
    <w:p w14:paraId="0104FCCD" w14:textId="6CE4BAFB" w:rsidR="00914CB1" w:rsidRPr="00D81472" w:rsidRDefault="00914CB1" w:rsidP="00D81472">
      <w:pPr>
        <w:spacing w:line="276" w:lineRule="auto"/>
        <w:jc w:val="both"/>
        <w:rPr>
          <w:rFonts w:ascii="Baskerville" w:hAnsi="Baskerville" w:cs="Times New Roman"/>
        </w:rPr>
      </w:pPr>
      <w:r w:rsidRPr="00D81472">
        <w:rPr>
          <w:rFonts w:ascii="Baskerville" w:hAnsi="Baskerville" w:cs="Times New Roman"/>
        </w:rPr>
        <w:t xml:space="preserve">Modifíquese el DFL Nº 1 del </w:t>
      </w:r>
      <w:r w:rsidR="006E0376" w:rsidRPr="00D81472">
        <w:rPr>
          <w:rFonts w:ascii="Baskerville" w:hAnsi="Baskerville" w:cs="Times New Roman"/>
        </w:rPr>
        <w:t xml:space="preserve">Ministerio De Economía, Fomento Y Reconstrucción; Subsecretaría De Economía, Fomento Y Reconstrucción del año 2017 que fija el TEXTO REFUNDIDO, COORDINADO Y SISTEMATIZADO DEL DECRETO LEY Nº211, DE 1973, en los siguiente términos: </w:t>
      </w:r>
    </w:p>
    <w:p w14:paraId="3914C560" w14:textId="77777777" w:rsidR="006E0376" w:rsidRPr="00D81472" w:rsidRDefault="006E0376" w:rsidP="00D81472">
      <w:pPr>
        <w:spacing w:line="276" w:lineRule="auto"/>
        <w:jc w:val="both"/>
        <w:rPr>
          <w:rFonts w:ascii="Baskerville" w:hAnsi="Baskerville" w:cs="Times New Roman"/>
        </w:rPr>
      </w:pPr>
    </w:p>
    <w:p w14:paraId="66234B34" w14:textId="28656912" w:rsidR="006E0376" w:rsidRPr="00D81472" w:rsidRDefault="006E0376" w:rsidP="00D81472">
      <w:pPr>
        <w:spacing w:line="276" w:lineRule="auto"/>
        <w:jc w:val="both"/>
        <w:rPr>
          <w:rFonts w:ascii="Baskerville" w:hAnsi="Baskerville" w:cs="Times New Roman"/>
        </w:rPr>
      </w:pPr>
      <w:r w:rsidRPr="00D81472">
        <w:rPr>
          <w:rFonts w:ascii="Baskerville" w:hAnsi="Baskerville" w:cs="Times New Roman"/>
          <w:b/>
          <w:u w:val="single"/>
        </w:rPr>
        <w:t>Artículo único:</w:t>
      </w:r>
      <w:r w:rsidRPr="00D81472">
        <w:rPr>
          <w:rFonts w:ascii="Baskerville" w:hAnsi="Baskerville" w:cs="Times New Roman"/>
        </w:rPr>
        <w:t xml:space="preserve"> En el artículo 27, inciso segundo, del Decreto Ley número 211 de 1973; reemplácese la frase: </w:t>
      </w:r>
      <w:r w:rsidRPr="00D81472">
        <w:rPr>
          <w:rFonts w:ascii="Baskerville" w:hAnsi="Baskerville" w:cs="Times New Roman"/>
          <w:i/>
        </w:rPr>
        <w:t>“Sólo será susceptible de recurso de reclamación, para ante la Corte  Suprema, la sentencia definitiva que imponga alguna de las medidas que se contemplan en el artículo 26, como también la que absuelva de la aplicación de dichas medidas”</w:t>
      </w:r>
      <w:r w:rsidR="00C831F3" w:rsidRPr="00D81472">
        <w:rPr>
          <w:rFonts w:ascii="Baskerville" w:hAnsi="Baskerville" w:cs="Times New Roman"/>
        </w:rPr>
        <w:t xml:space="preserve"> por la</w:t>
      </w:r>
      <w:r w:rsidRPr="00D81472">
        <w:rPr>
          <w:rFonts w:ascii="Baskerville" w:hAnsi="Baskerville" w:cs="Times New Roman"/>
        </w:rPr>
        <w:t xml:space="preserve"> siguiente: </w:t>
      </w:r>
    </w:p>
    <w:p w14:paraId="5B4AB4CF" w14:textId="38672C47" w:rsidR="00914CB1" w:rsidRPr="00D81472" w:rsidRDefault="00914CB1" w:rsidP="00D81472">
      <w:pPr>
        <w:spacing w:line="276" w:lineRule="auto"/>
        <w:jc w:val="both"/>
        <w:rPr>
          <w:rFonts w:ascii="Baskerville" w:hAnsi="Baskerville" w:cs="Times New Roman"/>
        </w:rPr>
      </w:pPr>
    </w:p>
    <w:p w14:paraId="691A645A" w14:textId="6C2CA98B" w:rsidR="006E0376" w:rsidRPr="00D81472" w:rsidRDefault="006E0376" w:rsidP="00D81472">
      <w:pPr>
        <w:spacing w:line="276" w:lineRule="auto"/>
        <w:jc w:val="both"/>
        <w:rPr>
          <w:rFonts w:ascii="Baskerville" w:hAnsi="Baskerville" w:cs="Times New Roman"/>
          <w:i/>
          <w:lang w:val="es-ES"/>
        </w:rPr>
      </w:pPr>
      <w:r w:rsidRPr="00D81472">
        <w:rPr>
          <w:rFonts w:ascii="Baskerville" w:hAnsi="Baskerville" w:cs="Times New Roman"/>
          <w:i/>
        </w:rPr>
        <w:t>“Sólo será susceptible de recur</w:t>
      </w:r>
      <w:r w:rsidR="00E30B4A" w:rsidRPr="00D81472">
        <w:rPr>
          <w:rFonts w:ascii="Baskerville" w:hAnsi="Baskerville" w:cs="Times New Roman"/>
          <w:i/>
        </w:rPr>
        <w:t>s</w:t>
      </w:r>
      <w:r w:rsidR="00EF622E" w:rsidRPr="00D81472">
        <w:rPr>
          <w:rFonts w:ascii="Baskerville" w:hAnsi="Baskerville" w:cs="Times New Roman"/>
          <w:i/>
        </w:rPr>
        <w:t>o se nulidad, para ante la Corte S</w:t>
      </w:r>
      <w:r w:rsidRPr="00D81472">
        <w:rPr>
          <w:rFonts w:ascii="Baskerville" w:hAnsi="Baskerville" w:cs="Times New Roman"/>
          <w:i/>
        </w:rPr>
        <w:t>uprema, la sentencia definitiva que imponga medidas que se contem</w:t>
      </w:r>
      <w:r w:rsidR="00E30B4A" w:rsidRPr="00D81472">
        <w:rPr>
          <w:rFonts w:ascii="Baskerville" w:hAnsi="Baskerville" w:cs="Times New Roman"/>
          <w:i/>
        </w:rPr>
        <w:t>plan en el ar</w:t>
      </w:r>
      <w:r w:rsidR="00F26A50" w:rsidRPr="00D81472">
        <w:rPr>
          <w:rFonts w:ascii="Baskerville" w:hAnsi="Baskerville" w:cs="Times New Roman"/>
          <w:i/>
        </w:rPr>
        <w:t>tículo 26, como también la que absuelva de la aplicación de dichas medidas. P</w:t>
      </w:r>
      <w:r w:rsidR="00CE38F5" w:rsidRPr="00D81472">
        <w:rPr>
          <w:rFonts w:ascii="Baskerville" w:hAnsi="Baskerville" w:cs="Times New Roman"/>
          <w:i/>
        </w:rPr>
        <w:t>rocederá tal recurso de nulidad</w:t>
      </w:r>
      <w:r w:rsidR="00C80190" w:rsidRPr="00D81472">
        <w:rPr>
          <w:rFonts w:ascii="Baskerville" w:hAnsi="Baskerville" w:cs="Times New Roman"/>
          <w:i/>
          <w:lang w:val="es-ES"/>
        </w:rPr>
        <w:t xml:space="preserve"> c</w:t>
      </w:r>
      <w:r w:rsidR="00F26A50" w:rsidRPr="00D81472">
        <w:rPr>
          <w:rFonts w:ascii="Baskerville" w:hAnsi="Baskerville" w:cs="Times New Roman"/>
          <w:i/>
          <w:lang w:val="es-ES"/>
        </w:rPr>
        <w:t>uando, en la tramitación del juicio o en el pronunciamiento de la sentencia, se hubieren infringido sustancialmente derechos o garantías ase</w:t>
      </w:r>
      <w:r w:rsidR="00EF622E" w:rsidRPr="00D81472">
        <w:rPr>
          <w:rFonts w:ascii="Baskerville" w:hAnsi="Baskerville" w:cs="Times New Roman"/>
          <w:i/>
          <w:lang w:val="es-ES"/>
        </w:rPr>
        <w:t>gurados por la Constitución y c</w:t>
      </w:r>
      <w:r w:rsidR="00F26A50" w:rsidRPr="00D81472">
        <w:rPr>
          <w:rFonts w:ascii="Baskerville" w:hAnsi="Baskerville" w:cs="Times New Roman"/>
          <w:i/>
          <w:lang w:val="es-ES"/>
        </w:rPr>
        <w:t>uando, en el pronunciamiento de la sentencia, se hubiere hecho una errónea aplicación del Derecho que</w:t>
      </w:r>
      <w:r w:rsidR="00EF622E" w:rsidRPr="00D81472">
        <w:rPr>
          <w:rFonts w:ascii="Baskerville" w:hAnsi="Baskerville" w:cs="Times New Roman"/>
          <w:i/>
          <w:lang w:val="es-ES"/>
        </w:rPr>
        <w:t xml:space="preserve"> </w:t>
      </w:r>
      <w:r w:rsidR="00F26A50" w:rsidRPr="00D81472">
        <w:rPr>
          <w:rFonts w:ascii="Baskerville" w:hAnsi="Baskerville" w:cs="Times New Roman"/>
          <w:i/>
          <w:lang w:val="es-ES"/>
        </w:rPr>
        <w:t>hubiere influido sustancialmente en lo dispositivo del fallo".</w:t>
      </w:r>
    </w:p>
    <w:p w14:paraId="5C074582" w14:textId="77777777" w:rsidR="00914CB1" w:rsidRPr="00D81472" w:rsidRDefault="00914CB1" w:rsidP="00D81472">
      <w:pPr>
        <w:spacing w:line="276" w:lineRule="auto"/>
        <w:jc w:val="both"/>
        <w:rPr>
          <w:rFonts w:ascii="Baskerville" w:hAnsi="Baskerville" w:cs="Times New Roman"/>
        </w:rPr>
      </w:pPr>
    </w:p>
    <w:p w14:paraId="7E84EC4C" w14:textId="2142F7B8" w:rsidR="00F33F26" w:rsidRDefault="00F33F26" w:rsidP="00D81472">
      <w:pPr>
        <w:spacing w:line="276" w:lineRule="auto"/>
        <w:jc w:val="both"/>
        <w:rPr>
          <w:rFonts w:ascii="Baskerville" w:hAnsi="Baskerville" w:cs="Times New Roman"/>
        </w:rPr>
      </w:pPr>
    </w:p>
    <w:p w14:paraId="2EA40BD5" w14:textId="77777777" w:rsidR="00D81472" w:rsidRDefault="00D81472" w:rsidP="00D81472">
      <w:pPr>
        <w:spacing w:line="276" w:lineRule="auto"/>
        <w:jc w:val="both"/>
        <w:rPr>
          <w:rFonts w:ascii="Baskerville" w:hAnsi="Baskerville" w:cs="Times New Roman"/>
        </w:rPr>
      </w:pPr>
    </w:p>
    <w:p w14:paraId="6666C1D1" w14:textId="77777777" w:rsidR="00D81472" w:rsidRDefault="00D81472" w:rsidP="00D81472">
      <w:pPr>
        <w:spacing w:line="276" w:lineRule="auto"/>
        <w:jc w:val="both"/>
        <w:rPr>
          <w:rFonts w:ascii="Baskerville" w:hAnsi="Baskerville" w:cs="Times New Roman"/>
        </w:rPr>
      </w:pPr>
    </w:p>
    <w:p w14:paraId="0F266E28" w14:textId="77777777" w:rsidR="00D81472" w:rsidRDefault="00D81472" w:rsidP="00D81472">
      <w:pPr>
        <w:spacing w:line="276" w:lineRule="auto"/>
        <w:jc w:val="both"/>
        <w:rPr>
          <w:rFonts w:ascii="Baskerville" w:hAnsi="Baskerville" w:cs="Times New Roman"/>
        </w:rPr>
      </w:pPr>
    </w:p>
    <w:p w14:paraId="505CB857" w14:textId="77777777" w:rsidR="00D81472" w:rsidRDefault="00D81472" w:rsidP="00D81472">
      <w:pPr>
        <w:spacing w:line="276" w:lineRule="auto"/>
        <w:jc w:val="both"/>
        <w:rPr>
          <w:rFonts w:ascii="Baskerville" w:hAnsi="Baskerville" w:cs="Times New Roman"/>
        </w:rPr>
      </w:pPr>
    </w:p>
    <w:p w14:paraId="1018CA35" w14:textId="77777777" w:rsidR="00D81472" w:rsidRDefault="00D81472" w:rsidP="00D81472">
      <w:pPr>
        <w:spacing w:line="276" w:lineRule="auto"/>
        <w:jc w:val="both"/>
        <w:rPr>
          <w:rFonts w:ascii="Baskerville" w:hAnsi="Baskerville" w:cs="Times New Roman"/>
        </w:rPr>
      </w:pPr>
    </w:p>
    <w:p w14:paraId="59C9ACC5" w14:textId="77777777" w:rsidR="00D81472" w:rsidRDefault="00D81472" w:rsidP="00D81472">
      <w:pPr>
        <w:spacing w:line="276" w:lineRule="auto"/>
        <w:jc w:val="both"/>
        <w:rPr>
          <w:rFonts w:ascii="Baskerville" w:hAnsi="Baskerville" w:cs="Times New Roman"/>
        </w:rPr>
      </w:pPr>
    </w:p>
    <w:p w14:paraId="28F5F076" w14:textId="77777777" w:rsidR="00D81472" w:rsidRDefault="00D81472" w:rsidP="00D81472">
      <w:pPr>
        <w:spacing w:line="276" w:lineRule="auto"/>
        <w:jc w:val="both"/>
        <w:rPr>
          <w:rFonts w:ascii="Baskerville" w:hAnsi="Baskerville" w:cs="Times New Roman"/>
        </w:rPr>
      </w:pPr>
    </w:p>
    <w:p w14:paraId="22121C9C" w14:textId="77777777" w:rsidR="00D81472" w:rsidRDefault="00D81472" w:rsidP="00D81472">
      <w:pPr>
        <w:spacing w:line="276" w:lineRule="auto"/>
        <w:jc w:val="both"/>
        <w:rPr>
          <w:rFonts w:ascii="Baskerville" w:hAnsi="Baskerville" w:cs="Times New Roman"/>
        </w:rPr>
      </w:pPr>
    </w:p>
    <w:p w14:paraId="2BE05FD8" w14:textId="77777777" w:rsidR="00D81472" w:rsidRPr="00D81472" w:rsidRDefault="00D81472" w:rsidP="00D81472">
      <w:pPr>
        <w:spacing w:line="276" w:lineRule="auto"/>
        <w:jc w:val="both"/>
        <w:rPr>
          <w:rFonts w:ascii="Baskerville" w:hAnsi="Baskerville" w:cs="Times New Roman"/>
        </w:rPr>
      </w:pPr>
    </w:p>
    <w:p w14:paraId="2A015B2E" w14:textId="77777777" w:rsidR="00C831F3" w:rsidRPr="00D81472" w:rsidRDefault="00C831F3" w:rsidP="00D81472">
      <w:pPr>
        <w:spacing w:line="276" w:lineRule="auto"/>
        <w:jc w:val="both"/>
        <w:rPr>
          <w:rFonts w:ascii="Baskerville" w:hAnsi="Baskerville" w:cs="Times New Roman"/>
          <w:b/>
          <w:u w:val="single"/>
        </w:rPr>
      </w:pPr>
    </w:p>
    <w:p w14:paraId="075957DC" w14:textId="098C46B3" w:rsidR="00D81472" w:rsidRPr="00D81472" w:rsidRDefault="00D81472" w:rsidP="00D81472">
      <w:pPr>
        <w:spacing w:line="276" w:lineRule="auto"/>
        <w:jc w:val="center"/>
        <w:rPr>
          <w:rFonts w:ascii="Baskerville" w:hAnsi="Baskerville" w:cs="Times New Roman"/>
          <w:b/>
        </w:rPr>
      </w:pPr>
      <w:r w:rsidRPr="00D81472">
        <w:rPr>
          <w:rFonts w:ascii="Baskerville" w:hAnsi="Baskerville" w:cs="Times New Roman"/>
          <w:b/>
        </w:rPr>
        <w:t>__________________________</w:t>
      </w:r>
    </w:p>
    <w:p w14:paraId="234FB9AE" w14:textId="33363113" w:rsidR="002D5D3C" w:rsidRPr="00D81472" w:rsidRDefault="00D81472" w:rsidP="00D81472">
      <w:pPr>
        <w:spacing w:line="276" w:lineRule="auto"/>
        <w:jc w:val="center"/>
        <w:rPr>
          <w:rFonts w:ascii="Baskerville" w:hAnsi="Baskerville" w:cs="Times New Roman"/>
          <w:b/>
        </w:rPr>
      </w:pPr>
      <w:r w:rsidRPr="00D81472">
        <w:rPr>
          <w:rFonts w:ascii="Baskerville" w:hAnsi="Baskerville" w:cs="Times New Roman"/>
          <w:b/>
        </w:rPr>
        <w:t>KARIM BIANCHI RETAMALES</w:t>
      </w:r>
    </w:p>
    <w:p w14:paraId="210E0DDA" w14:textId="65810835" w:rsidR="00D81472" w:rsidRPr="00D81472" w:rsidRDefault="00D81472" w:rsidP="00D81472">
      <w:pPr>
        <w:spacing w:line="276" w:lineRule="auto"/>
        <w:jc w:val="center"/>
        <w:rPr>
          <w:rFonts w:ascii="Baskerville" w:hAnsi="Baskerville" w:cs="Times New Roman"/>
          <w:b/>
        </w:rPr>
      </w:pPr>
      <w:r w:rsidRPr="00D81472">
        <w:rPr>
          <w:rFonts w:ascii="Baskerville" w:hAnsi="Baskerville" w:cs="Times New Roman"/>
          <w:b/>
        </w:rPr>
        <w:t>H. Diputado.</w:t>
      </w:r>
    </w:p>
    <w:sectPr w:rsidR="00D81472" w:rsidRPr="00D81472" w:rsidSect="009D27DD">
      <w:headerReference w:type="default" r:id="rId7"/>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83DC6" w14:textId="77777777" w:rsidR="001D2356" w:rsidRDefault="001D2356" w:rsidP="00E60369">
      <w:r>
        <w:separator/>
      </w:r>
    </w:p>
  </w:endnote>
  <w:endnote w:type="continuationSeparator" w:id="0">
    <w:p w14:paraId="274384F7" w14:textId="77777777" w:rsidR="001D2356" w:rsidRDefault="001D2356" w:rsidP="00E60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Baskerville">
    <w:altName w:val="Cambria Math"/>
    <w:charset w:val="00"/>
    <w:family w:val="auto"/>
    <w:pitch w:val="variable"/>
    <w:sig w:usb0="00000001" w:usb1="02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EBA81" w14:textId="77777777" w:rsidR="00D81472" w:rsidRDefault="00D81472" w:rsidP="009D23C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4C51BF7" w14:textId="77777777" w:rsidR="00D81472" w:rsidRDefault="00D81472" w:rsidP="009D23C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0F02B" w14:textId="77777777" w:rsidR="00D81472" w:rsidRDefault="00D81472" w:rsidP="009D23C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E0559">
      <w:rPr>
        <w:rStyle w:val="Nmerodepgina"/>
        <w:noProof/>
      </w:rPr>
      <w:t>5</w:t>
    </w:r>
    <w:r>
      <w:rPr>
        <w:rStyle w:val="Nmerodepgina"/>
      </w:rPr>
      <w:fldChar w:fldCharType="end"/>
    </w:r>
  </w:p>
  <w:p w14:paraId="7F98C52B" w14:textId="77777777" w:rsidR="00D81472" w:rsidRDefault="00D81472" w:rsidP="009D23C7">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95529" w14:textId="77777777" w:rsidR="001D2356" w:rsidRDefault="001D2356" w:rsidP="00E60369">
      <w:r>
        <w:separator/>
      </w:r>
    </w:p>
  </w:footnote>
  <w:footnote w:type="continuationSeparator" w:id="0">
    <w:p w14:paraId="67B8A8DB" w14:textId="77777777" w:rsidR="001D2356" w:rsidRDefault="001D2356" w:rsidP="00E60369">
      <w:r>
        <w:continuationSeparator/>
      </w:r>
    </w:p>
  </w:footnote>
  <w:footnote w:id="1">
    <w:p w14:paraId="7D44DBC1" w14:textId="162B97BB" w:rsidR="00D81472" w:rsidRPr="009954B9" w:rsidRDefault="00D81472" w:rsidP="00E60369">
      <w:pPr>
        <w:pStyle w:val="Textonotapie"/>
        <w:rPr>
          <w:sz w:val="18"/>
          <w:szCs w:val="18"/>
        </w:rPr>
      </w:pPr>
      <w:r w:rsidRPr="009954B9">
        <w:rPr>
          <w:rStyle w:val="Refdenotaalpie"/>
          <w:sz w:val="18"/>
          <w:szCs w:val="18"/>
        </w:rPr>
        <w:footnoteRef/>
      </w:r>
      <w:r w:rsidRPr="009954B9">
        <w:rPr>
          <w:sz w:val="18"/>
          <w:szCs w:val="18"/>
        </w:rPr>
        <w:t xml:space="preserve"> Valdés Prieto, Domingo. 2009. Libre competencia y monopolio. Santiago, Chile. Pág. 585. Editorial Jurídica de Chile 752p. (Colección tratados).</w:t>
      </w:r>
    </w:p>
  </w:footnote>
  <w:footnote w:id="2">
    <w:p w14:paraId="6E3B711F" w14:textId="754BBAF1" w:rsidR="00D81472" w:rsidRPr="009954B9" w:rsidRDefault="00D81472">
      <w:pPr>
        <w:pStyle w:val="Textonotapie"/>
        <w:rPr>
          <w:sz w:val="18"/>
          <w:szCs w:val="18"/>
        </w:rPr>
      </w:pPr>
      <w:r w:rsidRPr="009954B9">
        <w:rPr>
          <w:rStyle w:val="Refdenotaalpie"/>
          <w:sz w:val="18"/>
          <w:szCs w:val="18"/>
        </w:rPr>
        <w:footnoteRef/>
      </w:r>
      <w:r w:rsidRPr="009954B9">
        <w:rPr>
          <w:sz w:val="18"/>
          <w:szCs w:val="18"/>
        </w:rPr>
        <w:t xml:space="preserve"> MONTT, Santiago. El TDLC como ente regulador del comercio. Documento de Trabajo N° 1. Centro de Regulación y Competencia (REGCOM).</w:t>
      </w:r>
    </w:p>
  </w:footnote>
  <w:footnote w:id="3">
    <w:p w14:paraId="35A2C5E2" w14:textId="2536E52D" w:rsidR="00D81472" w:rsidRPr="009954B9" w:rsidRDefault="00D81472">
      <w:pPr>
        <w:pStyle w:val="Textonotapie"/>
        <w:rPr>
          <w:sz w:val="18"/>
          <w:szCs w:val="18"/>
        </w:rPr>
      </w:pPr>
      <w:r w:rsidRPr="009954B9">
        <w:rPr>
          <w:rStyle w:val="Refdenotaalpie"/>
          <w:sz w:val="18"/>
          <w:szCs w:val="18"/>
        </w:rPr>
        <w:footnoteRef/>
      </w:r>
      <w:r w:rsidRPr="009954B9">
        <w:rPr>
          <w:sz w:val="18"/>
          <w:szCs w:val="18"/>
        </w:rPr>
        <w:t xml:space="preserve"> MENCHACA, Tomás. Evolución del antiguo al nuevo sistema. En: Revista Anales de Derecho UC. Temas de Libre Competencia. Volumen N° 2. Santiago. 2007. p. 15.</w:t>
      </w:r>
    </w:p>
  </w:footnote>
  <w:footnote w:id="4">
    <w:p w14:paraId="48E70D35" w14:textId="2B72367E" w:rsidR="00D81472" w:rsidRPr="009954B9" w:rsidRDefault="00D81472">
      <w:pPr>
        <w:pStyle w:val="Textonotapie"/>
        <w:rPr>
          <w:sz w:val="18"/>
          <w:szCs w:val="18"/>
        </w:rPr>
      </w:pPr>
      <w:r w:rsidRPr="009954B9">
        <w:rPr>
          <w:rStyle w:val="Refdenotaalpie"/>
          <w:sz w:val="18"/>
          <w:szCs w:val="18"/>
        </w:rPr>
        <w:footnoteRef/>
      </w:r>
      <w:r w:rsidRPr="009954B9">
        <w:rPr>
          <w:sz w:val="18"/>
          <w:szCs w:val="18"/>
        </w:rPr>
        <w:t xml:space="preserve"> VELOZO, Javier; GONZÁLEZ, Daniela. Reflexiones en torno a algunas de las facultades extrajurisdiccionales del Tribunal de Defensa de la Libre Competencia. En TRIBUNAL DE DEFENSA DE LA LIBRE COMPETENCIA “La Libre Competencia en el Chile del Bicentenario”. Ed. Thompson Reuters Puntolex. Santiago. 2010. p. 23</w:t>
      </w:r>
    </w:p>
  </w:footnote>
  <w:footnote w:id="5">
    <w:p w14:paraId="37CF409E" w14:textId="12DC4ADE" w:rsidR="00D81472" w:rsidRPr="009954B9" w:rsidRDefault="00D81472">
      <w:pPr>
        <w:pStyle w:val="Textonotapie"/>
        <w:rPr>
          <w:sz w:val="18"/>
          <w:szCs w:val="18"/>
        </w:rPr>
      </w:pPr>
      <w:r w:rsidRPr="009954B9">
        <w:rPr>
          <w:rStyle w:val="Refdenotaalpie"/>
          <w:sz w:val="18"/>
          <w:szCs w:val="18"/>
        </w:rPr>
        <w:footnoteRef/>
      </w:r>
      <w:r w:rsidRPr="009954B9">
        <w:rPr>
          <w:sz w:val="18"/>
          <w:szCs w:val="18"/>
        </w:rPr>
        <w:t xml:space="preserve"> Sentencia TDLC Nº 86/2009, consideración segunda.</w:t>
      </w:r>
    </w:p>
  </w:footnote>
  <w:footnote w:id="6">
    <w:p w14:paraId="258DF8B1" w14:textId="1169263B" w:rsidR="00D81472" w:rsidRDefault="00D81472">
      <w:pPr>
        <w:pStyle w:val="Textonotapie"/>
      </w:pPr>
      <w:r w:rsidRPr="009954B9">
        <w:rPr>
          <w:rStyle w:val="Refdenotaalpie"/>
          <w:sz w:val="18"/>
          <w:szCs w:val="18"/>
        </w:rPr>
        <w:footnoteRef/>
      </w:r>
      <w:r w:rsidRPr="009954B9">
        <w:rPr>
          <w:sz w:val="18"/>
          <w:szCs w:val="18"/>
        </w:rPr>
        <w:t xml:space="preserve"> Valdés Prieto, Domingo. 2009. Libre competencia y monopolio. Santiago, Chile. Pág. 694. Editorial Jurídica de Chile 752p. (Colección tratados).</w:t>
      </w:r>
    </w:p>
  </w:footnote>
  <w:footnote w:id="7">
    <w:p w14:paraId="2B68F6CE" w14:textId="77777777" w:rsidR="00D81472" w:rsidRPr="00747566" w:rsidRDefault="00D81472" w:rsidP="00747566">
      <w:pPr>
        <w:pStyle w:val="Textonotapie"/>
        <w:rPr>
          <w:sz w:val="18"/>
          <w:szCs w:val="18"/>
        </w:rPr>
      </w:pPr>
      <w:r w:rsidRPr="00747566">
        <w:rPr>
          <w:rStyle w:val="Refdenotaalpie"/>
          <w:sz w:val="18"/>
          <w:szCs w:val="18"/>
        </w:rPr>
        <w:footnoteRef/>
      </w:r>
      <w:r w:rsidRPr="00747566">
        <w:rPr>
          <w:sz w:val="18"/>
          <w:szCs w:val="18"/>
        </w:rPr>
        <w:t xml:space="preserve"> Artículo 27º.- Las resoluciones pronunciadas por el Tribunal de Defensa de la Libre Competencia, salvo la sentencia definitiva, serán susceptibles del recurso de reposición, al que podrá darse tramitación incidental o ser resuelto de plano.</w:t>
      </w:r>
    </w:p>
    <w:p w14:paraId="74D11805" w14:textId="77777777" w:rsidR="00D81472" w:rsidRDefault="00D81472" w:rsidP="00747566">
      <w:pPr>
        <w:pStyle w:val="Textonotapie"/>
      </w:pPr>
      <w:r w:rsidRPr="00747566">
        <w:rPr>
          <w:sz w:val="18"/>
          <w:szCs w:val="18"/>
        </w:rPr>
        <w:t>Sólo será susceptible de recurso de reclamación, para ante la Corte Suprema, la sentencia definitiva que imponga alguna de las medidas que se contemplan en el artículo 26, como también la que absuelva de la aplicación de dichas medidas. (…)”.</w:t>
      </w:r>
    </w:p>
  </w:footnote>
  <w:footnote w:id="8">
    <w:p w14:paraId="6216EFF9" w14:textId="3767326D" w:rsidR="00D81472" w:rsidRPr="00C27FED" w:rsidRDefault="00D81472">
      <w:pPr>
        <w:pStyle w:val="Textonotapie"/>
        <w:rPr>
          <w:sz w:val="18"/>
          <w:szCs w:val="18"/>
        </w:rPr>
      </w:pPr>
      <w:r w:rsidRPr="00C27FED">
        <w:rPr>
          <w:rStyle w:val="Refdenotaalpie"/>
          <w:sz w:val="18"/>
          <w:szCs w:val="18"/>
        </w:rPr>
        <w:footnoteRef/>
      </w:r>
      <w:r w:rsidRPr="00C27FED">
        <w:rPr>
          <w:sz w:val="18"/>
          <w:szCs w:val="18"/>
        </w:rPr>
        <w:t xml:space="preserve"> El año es particularmente importante debido a que a propósito de las modificaciones a la ley en 2016 que desvirtúan su alcance.  </w:t>
      </w:r>
    </w:p>
  </w:footnote>
  <w:footnote w:id="9">
    <w:p w14:paraId="2AFA20D5" w14:textId="2CB5C5BC" w:rsidR="00D81472" w:rsidRPr="0073593E" w:rsidRDefault="00D81472" w:rsidP="00AA278C">
      <w:pPr>
        <w:pStyle w:val="Textonotapie"/>
        <w:rPr>
          <w:sz w:val="18"/>
          <w:szCs w:val="18"/>
        </w:rPr>
      </w:pPr>
      <w:r w:rsidRPr="0073593E">
        <w:rPr>
          <w:rStyle w:val="Refdenotaalpie"/>
          <w:sz w:val="18"/>
          <w:szCs w:val="18"/>
        </w:rPr>
        <w:footnoteRef/>
      </w:r>
      <w:r w:rsidRPr="0073593E">
        <w:rPr>
          <w:sz w:val="18"/>
          <w:szCs w:val="18"/>
        </w:rPr>
        <w:t xml:space="preserve"> Javier Tapia y Luis Cordero, La Revisión Judicial De Las Decisiones Regulatorias: Una Mirada Institucional. Estudios Públicos, 139 (invierno 2015), pág. 11.</w:t>
      </w:r>
    </w:p>
  </w:footnote>
  <w:footnote w:id="10">
    <w:p w14:paraId="494BA259" w14:textId="3406684F" w:rsidR="00D81472" w:rsidRDefault="00D81472">
      <w:pPr>
        <w:pStyle w:val="Textonotapie"/>
      </w:pPr>
      <w:r w:rsidRPr="0073593E">
        <w:rPr>
          <w:rStyle w:val="Refdenotaalpie"/>
          <w:sz w:val="18"/>
          <w:szCs w:val="18"/>
        </w:rPr>
        <w:footnoteRef/>
      </w:r>
      <w:r w:rsidRPr="0073593E">
        <w:rPr>
          <w:sz w:val="18"/>
          <w:szCs w:val="18"/>
        </w:rPr>
        <w:t xml:space="preserve"> Javier Tapia y Luis Cordero, La Revisión Judicial De Las Decisiones Regulatorias: Una Mirada Institucional. Estudios Públicos, 139 (invierno 2015), pág. 12.</w:t>
      </w:r>
    </w:p>
  </w:footnote>
  <w:footnote w:id="11">
    <w:p w14:paraId="5B26CE8E" w14:textId="0189AE03" w:rsidR="00D81472" w:rsidRDefault="00D81472">
      <w:pPr>
        <w:pStyle w:val="Textonotapie"/>
      </w:pPr>
      <w:r w:rsidRPr="0073593E">
        <w:rPr>
          <w:rStyle w:val="Refdenotaalpie"/>
          <w:sz w:val="18"/>
          <w:szCs w:val="18"/>
        </w:rPr>
        <w:footnoteRef/>
      </w:r>
      <w:r>
        <w:t xml:space="preserve"> </w:t>
      </w:r>
      <w:r w:rsidRPr="0073593E">
        <w:rPr>
          <w:sz w:val="18"/>
          <w:szCs w:val="18"/>
        </w:rPr>
        <w:t>Javier Tapia y Luis Cordero, La Revisión Judicial De Las Decisiones Regulatorias: Una Mirada Institucional. Estudios Públicos, 139 (invierno 2015), pág. 12</w:t>
      </w:r>
    </w:p>
  </w:footnote>
  <w:footnote w:id="12">
    <w:p w14:paraId="44D69126" w14:textId="4270D1D7" w:rsidR="00D81472" w:rsidRPr="00013B81" w:rsidRDefault="00D81472" w:rsidP="00013B81">
      <w:pPr>
        <w:pStyle w:val="Default"/>
        <w:rPr>
          <w:sz w:val="20"/>
          <w:szCs w:val="20"/>
        </w:rPr>
      </w:pPr>
      <w:r>
        <w:rPr>
          <w:rStyle w:val="Refdenotaalpie"/>
        </w:rPr>
        <w:footnoteRef/>
      </w:r>
      <w:r>
        <w:t xml:space="preserve">  </w:t>
      </w:r>
      <w:r>
        <w:rPr>
          <w:sz w:val="20"/>
          <w:szCs w:val="20"/>
        </w:rPr>
        <w:t xml:space="preserve">BIBLIOTECA DEL CONGRESO NACIONAL DE CHILE. </w:t>
      </w:r>
      <w:r>
        <w:rPr>
          <w:i/>
          <w:iCs/>
          <w:sz w:val="20"/>
          <w:szCs w:val="20"/>
        </w:rPr>
        <w:t xml:space="preserve">Historia de la Ley N° 19.911 que crea el Tribunal de Defensa de la Libre Competencia. </w:t>
      </w:r>
      <w:r>
        <w:rPr>
          <w:sz w:val="20"/>
          <w:szCs w:val="20"/>
        </w:rPr>
        <w:t>2003. Disponible en: https</w:t>
      </w:r>
      <w:r w:rsidRPr="00013B81">
        <w:rPr>
          <w:sz w:val="18"/>
          <w:szCs w:val="18"/>
        </w:rPr>
        <w:t>//www.bcn.cl/historiadelaley/nc/historia-de-la-ley/5814</w:t>
      </w:r>
      <w:r>
        <w:rPr>
          <w:sz w:val="18"/>
          <w:szCs w:val="18"/>
        </w:rPr>
        <w:t xml:space="preserve">/ </w:t>
      </w:r>
    </w:p>
  </w:footnote>
  <w:footnote w:id="13">
    <w:p w14:paraId="2FC60389" w14:textId="4EF5A7F5" w:rsidR="00D81472" w:rsidRDefault="00D81472">
      <w:pPr>
        <w:pStyle w:val="Textonotapie"/>
      </w:pPr>
      <w:r>
        <w:rPr>
          <w:rStyle w:val="Refdenotaalpie"/>
        </w:rPr>
        <w:footnoteRef/>
      </w:r>
      <w:r>
        <w:t xml:space="preserve"> </w:t>
      </w:r>
      <w:r>
        <w:rPr>
          <w:sz w:val="20"/>
          <w:szCs w:val="20"/>
        </w:rPr>
        <w:t xml:space="preserve">BIBLIOTECA DEL CONGRESO NACIONAL DE CHILE. </w:t>
      </w:r>
      <w:r>
        <w:rPr>
          <w:i/>
          <w:iCs/>
          <w:sz w:val="20"/>
          <w:szCs w:val="20"/>
        </w:rPr>
        <w:t xml:space="preserve">Historia de la Ley N° 19.911 que crea el Tribunal de Defensa de la Libre Competencia. </w:t>
      </w:r>
      <w:r>
        <w:rPr>
          <w:sz w:val="20"/>
          <w:szCs w:val="20"/>
        </w:rPr>
        <w:t>2003. Disponible en: https</w:t>
      </w:r>
      <w:r w:rsidRPr="00013B81">
        <w:rPr>
          <w:sz w:val="18"/>
          <w:szCs w:val="18"/>
        </w:rPr>
        <w:t>//www.bcn.cl/historiadelaley/nc/historia-de-la-ley/5814</w:t>
      </w:r>
      <w:r>
        <w:rPr>
          <w:sz w:val="18"/>
          <w:szCs w:val="18"/>
        </w:rPr>
        <w:t>/. Pág. 578-580.</w:t>
      </w:r>
    </w:p>
  </w:footnote>
  <w:footnote w:id="14">
    <w:p w14:paraId="331AD549" w14:textId="471F2EE8" w:rsidR="00D81472" w:rsidRPr="00FD11D3" w:rsidRDefault="00D81472">
      <w:pPr>
        <w:pStyle w:val="Textonotapie"/>
        <w:rPr>
          <w:sz w:val="18"/>
          <w:szCs w:val="18"/>
        </w:rPr>
      </w:pPr>
      <w:r w:rsidRPr="00FD11D3">
        <w:rPr>
          <w:rStyle w:val="Refdenotaalpie"/>
          <w:sz w:val="18"/>
          <w:szCs w:val="18"/>
        </w:rPr>
        <w:footnoteRef/>
      </w:r>
      <w:r w:rsidRPr="00FD11D3">
        <w:rPr>
          <w:sz w:val="18"/>
          <w:szCs w:val="18"/>
        </w:rPr>
        <w:t xml:space="preserve"> Tratando con esto de limitar los requisitos impuestos por la Corte Suprema a través de su jurisprudencia, en donde son mas exigentes. </w:t>
      </w:r>
    </w:p>
  </w:footnote>
  <w:footnote w:id="15">
    <w:p w14:paraId="27D67714" w14:textId="08A6185F" w:rsidR="00D81472" w:rsidRPr="00041D16" w:rsidRDefault="00D81472" w:rsidP="00041D16">
      <w:pPr>
        <w:widowControl w:val="0"/>
        <w:autoSpaceDE w:val="0"/>
        <w:autoSpaceDN w:val="0"/>
        <w:adjustRightInd w:val="0"/>
        <w:rPr>
          <w:rFonts w:ascii="Times New Roman" w:hAnsi="Times New Roman" w:cs="Times New Roman"/>
          <w:sz w:val="18"/>
          <w:szCs w:val="18"/>
          <w:lang w:val="es-ES"/>
        </w:rPr>
      </w:pPr>
      <w:r w:rsidRPr="00041D16">
        <w:rPr>
          <w:rStyle w:val="Refdenotaalpie"/>
          <w:sz w:val="18"/>
          <w:szCs w:val="18"/>
        </w:rPr>
        <w:footnoteRef/>
      </w:r>
      <w:r w:rsidRPr="00041D16">
        <w:rPr>
          <w:sz w:val="18"/>
          <w:szCs w:val="18"/>
        </w:rPr>
        <w:t xml:space="preserve"> </w:t>
      </w:r>
      <w:r w:rsidRPr="00041D16">
        <w:rPr>
          <w:rFonts w:ascii="Times New Roman" w:hAnsi="Times New Roman" w:cs="Times New Roman"/>
          <w:sz w:val="18"/>
          <w:szCs w:val="18"/>
          <w:lang w:val="es-ES"/>
        </w:rPr>
        <w:t>Conseil d’État (2006), Le juge administratif et les autorités de régulation économique, Les dossiers thématiques du Conseil d’État.</w:t>
      </w:r>
    </w:p>
  </w:footnote>
  <w:footnote w:id="16">
    <w:p w14:paraId="15BDF697" w14:textId="6DCD1549" w:rsidR="00D81472" w:rsidRPr="00041D16" w:rsidRDefault="00D81472">
      <w:pPr>
        <w:pStyle w:val="Textonotapie"/>
        <w:rPr>
          <w:sz w:val="18"/>
          <w:szCs w:val="18"/>
        </w:rPr>
      </w:pPr>
      <w:r w:rsidRPr="00041D16">
        <w:rPr>
          <w:rStyle w:val="Refdenotaalpie"/>
          <w:sz w:val="18"/>
          <w:szCs w:val="18"/>
        </w:rPr>
        <w:footnoteRef/>
      </w:r>
      <w:r w:rsidRPr="00041D16">
        <w:rPr>
          <w:sz w:val="18"/>
          <w:szCs w:val="18"/>
        </w:rPr>
        <w:t xml:space="preserve"> </w:t>
      </w:r>
      <w:r w:rsidRPr="00041D16">
        <w:rPr>
          <w:sz w:val="18"/>
          <w:szCs w:val="18"/>
          <w:lang w:val="es-ES"/>
        </w:rPr>
        <w:t>Competition Appeal Tribunal (2018). About the Tribunal. Disponible en: https://www.catribunal.org.uk/about</w:t>
      </w:r>
    </w:p>
  </w:footnote>
  <w:footnote w:id="17">
    <w:p w14:paraId="6FD41908" w14:textId="1D2F337D" w:rsidR="00D81472" w:rsidRPr="00F94FBC" w:rsidRDefault="00D81472" w:rsidP="00013C98">
      <w:pPr>
        <w:pStyle w:val="Textonotapie"/>
        <w:jc w:val="both"/>
        <w:rPr>
          <w:sz w:val="18"/>
          <w:szCs w:val="18"/>
        </w:rPr>
      </w:pPr>
      <w:r w:rsidRPr="00F94FBC">
        <w:rPr>
          <w:rStyle w:val="Refdenotaalpie"/>
          <w:sz w:val="18"/>
          <w:szCs w:val="18"/>
        </w:rPr>
        <w:footnoteRef/>
      </w:r>
      <w:r w:rsidRPr="00F94FBC">
        <w:rPr>
          <w:sz w:val="18"/>
          <w:szCs w:val="18"/>
        </w:rPr>
        <w:t xml:space="preserve"> NUÑEZ VÁZQUEZ, J. CRISTÓBAL. Tratado del Proceso Penal y del juicio oral. [Santiago, Chile]  Editorial Jurídica de las Américas, 2009. Pág. 3. Contenido solo disponible en los productos indicados|dvLex Global|dvLex Global (Academic Edition, excluding Law Schools)|dvLex Global (U.S. Academic Edition, Law Schools)|dvLex Global (U.S. Academic Edition, excluding Law Schools)|dvLex Global (Academic Edition, Law Schools)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56D09" w14:textId="4307972E" w:rsidR="00D81472" w:rsidRDefault="00D81472">
    <w:pPr>
      <w:pStyle w:val="Encabezado"/>
    </w:pPr>
    <w:r>
      <w:rPr>
        <w:noProof/>
        <w:lang w:val="es-CL" w:eastAsia="es-CL"/>
      </w:rPr>
      <w:drawing>
        <wp:inline distT="0" distB="4445" distL="0" distR="0" wp14:anchorId="153F919C" wp14:editId="42C1D59A">
          <wp:extent cx="1017905" cy="1011555"/>
          <wp:effectExtent l="0" t="0" r="0" b="0"/>
          <wp:docPr id="1" name="Imagen 1" descr="Descripción: Logo de la Cámara de Diputados de 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escripción: Logo de la Cámara de Diputados de Chile"/>
                  <pic:cNvPicPr>
                    <a:picLocks noChangeAspect="1" noChangeArrowheads="1"/>
                  </pic:cNvPicPr>
                </pic:nvPicPr>
                <pic:blipFill>
                  <a:blip r:embed="rId1"/>
                  <a:stretch>
                    <a:fillRect/>
                  </a:stretch>
                </pic:blipFill>
                <pic:spPr bwMode="auto">
                  <a:xfrm>
                    <a:off x="0" y="0"/>
                    <a:ext cx="1017905" cy="10115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12D"/>
    <w:rsid w:val="00013B81"/>
    <w:rsid w:val="00013C98"/>
    <w:rsid w:val="000177C0"/>
    <w:rsid w:val="00041D16"/>
    <w:rsid w:val="0006477E"/>
    <w:rsid w:val="000771BC"/>
    <w:rsid w:val="000A4737"/>
    <w:rsid w:val="000C1BFB"/>
    <w:rsid w:val="000E55A7"/>
    <w:rsid w:val="000F6D67"/>
    <w:rsid w:val="001B6D65"/>
    <w:rsid w:val="001D2356"/>
    <w:rsid w:val="001D4B13"/>
    <w:rsid w:val="00201CA3"/>
    <w:rsid w:val="0021012D"/>
    <w:rsid w:val="00214EBE"/>
    <w:rsid w:val="002275B4"/>
    <w:rsid w:val="002608EE"/>
    <w:rsid w:val="00266D5C"/>
    <w:rsid w:val="002C577E"/>
    <w:rsid w:val="002C7E12"/>
    <w:rsid w:val="002D5D3C"/>
    <w:rsid w:val="003265ED"/>
    <w:rsid w:val="00344570"/>
    <w:rsid w:val="003B321E"/>
    <w:rsid w:val="003C29BF"/>
    <w:rsid w:val="003C2D01"/>
    <w:rsid w:val="00403EB0"/>
    <w:rsid w:val="00473F34"/>
    <w:rsid w:val="00494048"/>
    <w:rsid w:val="004F518D"/>
    <w:rsid w:val="00504C59"/>
    <w:rsid w:val="00517B5F"/>
    <w:rsid w:val="0052751B"/>
    <w:rsid w:val="005D08A8"/>
    <w:rsid w:val="005E35FA"/>
    <w:rsid w:val="00600BD5"/>
    <w:rsid w:val="0061376F"/>
    <w:rsid w:val="00627521"/>
    <w:rsid w:val="00631A36"/>
    <w:rsid w:val="00651106"/>
    <w:rsid w:val="006533A7"/>
    <w:rsid w:val="00662485"/>
    <w:rsid w:val="00663F53"/>
    <w:rsid w:val="006B08D5"/>
    <w:rsid w:val="006B2F57"/>
    <w:rsid w:val="006E0376"/>
    <w:rsid w:val="006E548A"/>
    <w:rsid w:val="0073593E"/>
    <w:rsid w:val="00747566"/>
    <w:rsid w:val="0075188C"/>
    <w:rsid w:val="00753B53"/>
    <w:rsid w:val="00754B9F"/>
    <w:rsid w:val="00755361"/>
    <w:rsid w:val="00760278"/>
    <w:rsid w:val="007A5F95"/>
    <w:rsid w:val="007B7421"/>
    <w:rsid w:val="007C4678"/>
    <w:rsid w:val="007E119B"/>
    <w:rsid w:val="007E1ED7"/>
    <w:rsid w:val="007F3A3E"/>
    <w:rsid w:val="00806579"/>
    <w:rsid w:val="008156A8"/>
    <w:rsid w:val="00833B68"/>
    <w:rsid w:val="00876359"/>
    <w:rsid w:val="00892FBB"/>
    <w:rsid w:val="008960BD"/>
    <w:rsid w:val="008A337A"/>
    <w:rsid w:val="008D020B"/>
    <w:rsid w:val="008E395A"/>
    <w:rsid w:val="00914CB1"/>
    <w:rsid w:val="00923E82"/>
    <w:rsid w:val="00934684"/>
    <w:rsid w:val="0096588A"/>
    <w:rsid w:val="0097072B"/>
    <w:rsid w:val="009729A0"/>
    <w:rsid w:val="00994BD1"/>
    <w:rsid w:val="009954B9"/>
    <w:rsid w:val="009D23C7"/>
    <w:rsid w:val="009D27DD"/>
    <w:rsid w:val="009D6F5B"/>
    <w:rsid w:val="009E03ED"/>
    <w:rsid w:val="00A176AD"/>
    <w:rsid w:val="00A4152B"/>
    <w:rsid w:val="00A80AEE"/>
    <w:rsid w:val="00AA278C"/>
    <w:rsid w:val="00AA396E"/>
    <w:rsid w:val="00AA459B"/>
    <w:rsid w:val="00AA4A73"/>
    <w:rsid w:val="00B03BE3"/>
    <w:rsid w:val="00B27D89"/>
    <w:rsid w:val="00B60B9A"/>
    <w:rsid w:val="00B90CA5"/>
    <w:rsid w:val="00BB2B2D"/>
    <w:rsid w:val="00BC7BAD"/>
    <w:rsid w:val="00C22656"/>
    <w:rsid w:val="00C27FED"/>
    <w:rsid w:val="00C63C8C"/>
    <w:rsid w:val="00C80190"/>
    <w:rsid w:val="00C831F3"/>
    <w:rsid w:val="00CE38F5"/>
    <w:rsid w:val="00D27EC2"/>
    <w:rsid w:val="00D524FE"/>
    <w:rsid w:val="00D71DE7"/>
    <w:rsid w:val="00D81472"/>
    <w:rsid w:val="00D9521C"/>
    <w:rsid w:val="00DB4BA2"/>
    <w:rsid w:val="00DE0559"/>
    <w:rsid w:val="00DF471E"/>
    <w:rsid w:val="00E00DC3"/>
    <w:rsid w:val="00E04015"/>
    <w:rsid w:val="00E25A32"/>
    <w:rsid w:val="00E30B4A"/>
    <w:rsid w:val="00E464C5"/>
    <w:rsid w:val="00E60369"/>
    <w:rsid w:val="00E90107"/>
    <w:rsid w:val="00E90246"/>
    <w:rsid w:val="00EF0EB5"/>
    <w:rsid w:val="00EF622E"/>
    <w:rsid w:val="00F145F6"/>
    <w:rsid w:val="00F26A50"/>
    <w:rsid w:val="00F33F26"/>
    <w:rsid w:val="00F35208"/>
    <w:rsid w:val="00F3724A"/>
    <w:rsid w:val="00F94FBC"/>
    <w:rsid w:val="00FD11D3"/>
    <w:rsid w:val="00FE018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FA0C7F"/>
  <w14:defaultImageDpi w14:val="300"/>
  <w15:docId w15:val="{D103F2D1-2B64-4709-98E4-43DF965F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60369"/>
  </w:style>
  <w:style w:type="character" w:customStyle="1" w:styleId="TextonotapieCar">
    <w:name w:val="Texto nota pie Car"/>
    <w:basedOn w:val="Fuentedeprrafopredeter"/>
    <w:link w:val="Textonotapie"/>
    <w:uiPriority w:val="99"/>
    <w:rsid w:val="00E60369"/>
  </w:style>
  <w:style w:type="character" w:styleId="Refdenotaalpie">
    <w:name w:val="footnote reference"/>
    <w:basedOn w:val="Fuentedeprrafopredeter"/>
    <w:uiPriority w:val="99"/>
    <w:unhideWhenUsed/>
    <w:rsid w:val="00E60369"/>
    <w:rPr>
      <w:vertAlign w:val="superscript"/>
    </w:rPr>
  </w:style>
  <w:style w:type="paragraph" w:customStyle="1" w:styleId="Default">
    <w:name w:val="Default"/>
    <w:rsid w:val="00013B81"/>
    <w:pPr>
      <w:widowControl w:val="0"/>
      <w:autoSpaceDE w:val="0"/>
      <w:autoSpaceDN w:val="0"/>
      <w:adjustRightInd w:val="0"/>
    </w:pPr>
    <w:rPr>
      <w:rFonts w:ascii="Times New Roman" w:hAnsi="Times New Roman" w:cs="Times New Roman"/>
      <w:color w:val="000000"/>
      <w:lang w:val="es-ES"/>
    </w:rPr>
  </w:style>
  <w:style w:type="paragraph" w:styleId="HTMLconformatoprevio">
    <w:name w:val="HTML Preformatted"/>
    <w:basedOn w:val="Normal"/>
    <w:link w:val="HTMLconformatoprevioCar"/>
    <w:uiPriority w:val="99"/>
    <w:semiHidden/>
    <w:unhideWhenUsed/>
    <w:rsid w:val="00627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conformatoprevioCar">
    <w:name w:val="HTML con formato previo Car"/>
    <w:basedOn w:val="Fuentedeprrafopredeter"/>
    <w:link w:val="HTMLconformatoprevio"/>
    <w:uiPriority w:val="99"/>
    <w:semiHidden/>
    <w:rsid w:val="00627521"/>
    <w:rPr>
      <w:rFonts w:ascii="Courier" w:hAnsi="Courier" w:cs="Courier"/>
      <w:sz w:val="20"/>
      <w:szCs w:val="20"/>
    </w:rPr>
  </w:style>
  <w:style w:type="paragraph" w:styleId="ndice1">
    <w:name w:val="index 1"/>
    <w:basedOn w:val="Normal"/>
    <w:next w:val="Normal"/>
    <w:autoRedefine/>
    <w:uiPriority w:val="99"/>
    <w:unhideWhenUsed/>
    <w:rsid w:val="00F33F26"/>
    <w:pPr>
      <w:ind w:left="240" w:hanging="240"/>
    </w:pPr>
    <w:rPr>
      <w:sz w:val="20"/>
      <w:szCs w:val="20"/>
    </w:rPr>
  </w:style>
  <w:style w:type="paragraph" w:styleId="ndice2">
    <w:name w:val="index 2"/>
    <w:basedOn w:val="Normal"/>
    <w:next w:val="Normal"/>
    <w:autoRedefine/>
    <w:uiPriority w:val="99"/>
    <w:unhideWhenUsed/>
    <w:rsid w:val="00F33F26"/>
    <w:pPr>
      <w:ind w:left="480" w:hanging="240"/>
    </w:pPr>
    <w:rPr>
      <w:sz w:val="20"/>
      <w:szCs w:val="20"/>
    </w:rPr>
  </w:style>
  <w:style w:type="paragraph" w:styleId="ndice3">
    <w:name w:val="index 3"/>
    <w:basedOn w:val="Normal"/>
    <w:next w:val="Normal"/>
    <w:autoRedefine/>
    <w:uiPriority w:val="99"/>
    <w:unhideWhenUsed/>
    <w:rsid w:val="00F33F26"/>
    <w:pPr>
      <w:ind w:left="720" w:hanging="240"/>
    </w:pPr>
    <w:rPr>
      <w:sz w:val="20"/>
      <w:szCs w:val="20"/>
    </w:rPr>
  </w:style>
  <w:style w:type="paragraph" w:styleId="ndice4">
    <w:name w:val="index 4"/>
    <w:basedOn w:val="Normal"/>
    <w:next w:val="Normal"/>
    <w:autoRedefine/>
    <w:uiPriority w:val="99"/>
    <w:unhideWhenUsed/>
    <w:rsid w:val="00F33F26"/>
    <w:pPr>
      <w:ind w:left="960" w:hanging="240"/>
    </w:pPr>
    <w:rPr>
      <w:sz w:val="20"/>
      <w:szCs w:val="20"/>
    </w:rPr>
  </w:style>
  <w:style w:type="paragraph" w:styleId="ndice5">
    <w:name w:val="index 5"/>
    <w:basedOn w:val="Normal"/>
    <w:next w:val="Normal"/>
    <w:autoRedefine/>
    <w:uiPriority w:val="99"/>
    <w:unhideWhenUsed/>
    <w:rsid w:val="00F33F26"/>
    <w:pPr>
      <w:ind w:left="1200" w:hanging="240"/>
    </w:pPr>
    <w:rPr>
      <w:sz w:val="20"/>
      <w:szCs w:val="20"/>
    </w:rPr>
  </w:style>
  <w:style w:type="paragraph" w:styleId="ndice6">
    <w:name w:val="index 6"/>
    <w:basedOn w:val="Normal"/>
    <w:next w:val="Normal"/>
    <w:autoRedefine/>
    <w:uiPriority w:val="99"/>
    <w:unhideWhenUsed/>
    <w:rsid w:val="00F33F26"/>
    <w:pPr>
      <w:ind w:left="1440" w:hanging="240"/>
    </w:pPr>
    <w:rPr>
      <w:sz w:val="20"/>
      <w:szCs w:val="20"/>
    </w:rPr>
  </w:style>
  <w:style w:type="paragraph" w:styleId="ndice7">
    <w:name w:val="index 7"/>
    <w:basedOn w:val="Normal"/>
    <w:next w:val="Normal"/>
    <w:autoRedefine/>
    <w:uiPriority w:val="99"/>
    <w:unhideWhenUsed/>
    <w:rsid w:val="00F33F26"/>
    <w:pPr>
      <w:ind w:left="1680" w:hanging="240"/>
    </w:pPr>
    <w:rPr>
      <w:sz w:val="20"/>
      <w:szCs w:val="20"/>
    </w:rPr>
  </w:style>
  <w:style w:type="paragraph" w:styleId="ndice8">
    <w:name w:val="index 8"/>
    <w:basedOn w:val="Normal"/>
    <w:next w:val="Normal"/>
    <w:autoRedefine/>
    <w:uiPriority w:val="99"/>
    <w:unhideWhenUsed/>
    <w:rsid w:val="00F33F26"/>
    <w:pPr>
      <w:ind w:left="1920" w:hanging="240"/>
    </w:pPr>
    <w:rPr>
      <w:sz w:val="20"/>
      <w:szCs w:val="20"/>
    </w:rPr>
  </w:style>
  <w:style w:type="paragraph" w:styleId="ndice9">
    <w:name w:val="index 9"/>
    <w:basedOn w:val="Normal"/>
    <w:next w:val="Normal"/>
    <w:autoRedefine/>
    <w:uiPriority w:val="99"/>
    <w:unhideWhenUsed/>
    <w:rsid w:val="00F33F26"/>
    <w:pPr>
      <w:ind w:left="2160" w:hanging="240"/>
    </w:pPr>
    <w:rPr>
      <w:sz w:val="20"/>
      <w:szCs w:val="20"/>
    </w:rPr>
  </w:style>
  <w:style w:type="paragraph" w:styleId="Ttulodendice">
    <w:name w:val="index heading"/>
    <w:basedOn w:val="Normal"/>
    <w:next w:val="ndice1"/>
    <w:uiPriority w:val="99"/>
    <w:unhideWhenUsed/>
    <w:rsid w:val="00F33F26"/>
    <w:pPr>
      <w:spacing w:before="120" w:after="120"/>
    </w:pPr>
    <w:rPr>
      <w:i/>
      <w:sz w:val="20"/>
      <w:szCs w:val="20"/>
    </w:rPr>
  </w:style>
  <w:style w:type="paragraph" w:styleId="Piedepgina">
    <w:name w:val="footer"/>
    <w:basedOn w:val="Normal"/>
    <w:link w:val="PiedepginaCar"/>
    <w:uiPriority w:val="99"/>
    <w:unhideWhenUsed/>
    <w:rsid w:val="009D23C7"/>
    <w:pPr>
      <w:tabs>
        <w:tab w:val="center" w:pos="4252"/>
        <w:tab w:val="right" w:pos="8504"/>
      </w:tabs>
    </w:pPr>
  </w:style>
  <w:style w:type="character" w:customStyle="1" w:styleId="PiedepginaCar">
    <w:name w:val="Pie de página Car"/>
    <w:basedOn w:val="Fuentedeprrafopredeter"/>
    <w:link w:val="Piedepgina"/>
    <w:uiPriority w:val="99"/>
    <w:rsid w:val="009D23C7"/>
  </w:style>
  <w:style w:type="character" w:styleId="Nmerodepgina">
    <w:name w:val="page number"/>
    <w:basedOn w:val="Fuentedeprrafopredeter"/>
    <w:uiPriority w:val="99"/>
    <w:semiHidden/>
    <w:unhideWhenUsed/>
    <w:rsid w:val="009D23C7"/>
  </w:style>
  <w:style w:type="paragraph" w:styleId="Encabezado">
    <w:name w:val="header"/>
    <w:basedOn w:val="Normal"/>
    <w:link w:val="EncabezadoCar"/>
    <w:uiPriority w:val="99"/>
    <w:unhideWhenUsed/>
    <w:rsid w:val="00D81472"/>
    <w:pPr>
      <w:tabs>
        <w:tab w:val="center" w:pos="4252"/>
        <w:tab w:val="right" w:pos="8504"/>
      </w:tabs>
    </w:pPr>
  </w:style>
  <w:style w:type="character" w:customStyle="1" w:styleId="EncabezadoCar">
    <w:name w:val="Encabezado Car"/>
    <w:basedOn w:val="Fuentedeprrafopredeter"/>
    <w:link w:val="Encabezado"/>
    <w:uiPriority w:val="99"/>
    <w:rsid w:val="00D81472"/>
  </w:style>
  <w:style w:type="paragraph" w:styleId="Textodeglobo">
    <w:name w:val="Balloon Text"/>
    <w:basedOn w:val="Normal"/>
    <w:link w:val="TextodegloboCar"/>
    <w:uiPriority w:val="99"/>
    <w:semiHidden/>
    <w:unhideWhenUsed/>
    <w:rsid w:val="00D8147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8147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54576">
      <w:bodyDiv w:val="1"/>
      <w:marLeft w:val="0"/>
      <w:marRight w:val="0"/>
      <w:marTop w:val="0"/>
      <w:marBottom w:val="0"/>
      <w:divBdr>
        <w:top w:val="none" w:sz="0" w:space="0" w:color="auto"/>
        <w:left w:val="none" w:sz="0" w:space="0" w:color="auto"/>
        <w:bottom w:val="none" w:sz="0" w:space="0" w:color="auto"/>
        <w:right w:val="none" w:sz="0" w:space="0" w:color="auto"/>
      </w:divBdr>
    </w:div>
    <w:div w:id="84420273">
      <w:bodyDiv w:val="1"/>
      <w:marLeft w:val="0"/>
      <w:marRight w:val="0"/>
      <w:marTop w:val="0"/>
      <w:marBottom w:val="0"/>
      <w:divBdr>
        <w:top w:val="none" w:sz="0" w:space="0" w:color="auto"/>
        <w:left w:val="none" w:sz="0" w:space="0" w:color="auto"/>
        <w:bottom w:val="none" w:sz="0" w:space="0" w:color="auto"/>
        <w:right w:val="none" w:sz="0" w:space="0" w:color="auto"/>
      </w:divBdr>
    </w:div>
    <w:div w:id="135611803">
      <w:bodyDiv w:val="1"/>
      <w:marLeft w:val="0"/>
      <w:marRight w:val="0"/>
      <w:marTop w:val="0"/>
      <w:marBottom w:val="0"/>
      <w:divBdr>
        <w:top w:val="none" w:sz="0" w:space="0" w:color="auto"/>
        <w:left w:val="none" w:sz="0" w:space="0" w:color="auto"/>
        <w:bottom w:val="none" w:sz="0" w:space="0" w:color="auto"/>
        <w:right w:val="none" w:sz="0" w:space="0" w:color="auto"/>
      </w:divBdr>
    </w:div>
    <w:div w:id="176620730">
      <w:bodyDiv w:val="1"/>
      <w:marLeft w:val="0"/>
      <w:marRight w:val="0"/>
      <w:marTop w:val="0"/>
      <w:marBottom w:val="0"/>
      <w:divBdr>
        <w:top w:val="none" w:sz="0" w:space="0" w:color="auto"/>
        <w:left w:val="none" w:sz="0" w:space="0" w:color="auto"/>
        <w:bottom w:val="none" w:sz="0" w:space="0" w:color="auto"/>
        <w:right w:val="none" w:sz="0" w:space="0" w:color="auto"/>
      </w:divBdr>
    </w:div>
    <w:div w:id="209346358">
      <w:bodyDiv w:val="1"/>
      <w:marLeft w:val="0"/>
      <w:marRight w:val="0"/>
      <w:marTop w:val="0"/>
      <w:marBottom w:val="0"/>
      <w:divBdr>
        <w:top w:val="none" w:sz="0" w:space="0" w:color="auto"/>
        <w:left w:val="none" w:sz="0" w:space="0" w:color="auto"/>
        <w:bottom w:val="none" w:sz="0" w:space="0" w:color="auto"/>
        <w:right w:val="none" w:sz="0" w:space="0" w:color="auto"/>
      </w:divBdr>
    </w:div>
    <w:div w:id="273102301">
      <w:bodyDiv w:val="1"/>
      <w:marLeft w:val="0"/>
      <w:marRight w:val="0"/>
      <w:marTop w:val="0"/>
      <w:marBottom w:val="0"/>
      <w:divBdr>
        <w:top w:val="none" w:sz="0" w:space="0" w:color="auto"/>
        <w:left w:val="none" w:sz="0" w:space="0" w:color="auto"/>
        <w:bottom w:val="none" w:sz="0" w:space="0" w:color="auto"/>
        <w:right w:val="none" w:sz="0" w:space="0" w:color="auto"/>
      </w:divBdr>
    </w:div>
    <w:div w:id="527135294">
      <w:bodyDiv w:val="1"/>
      <w:marLeft w:val="0"/>
      <w:marRight w:val="0"/>
      <w:marTop w:val="0"/>
      <w:marBottom w:val="0"/>
      <w:divBdr>
        <w:top w:val="none" w:sz="0" w:space="0" w:color="auto"/>
        <w:left w:val="none" w:sz="0" w:space="0" w:color="auto"/>
        <w:bottom w:val="none" w:sz="0" w:space="0" w:color="auto"/>
        <w:right w:val="none" w:sz="0" w:space="0" w:color="auto"/>
      </w:divBdr>
    </w:div>
    <w:div w:id="834959074">
      <w:bodyDiv w:val="1"/>
      <w:marLeft w:val="0"/>
      <w:marRight w:val="0"/>
      <w:marTop w:val="0"/>
      <w:marBottom w:val="0"/>
      <w:divBdr>
        <w:top w:val="none" w:sz="0" w:space="0" w:color="auto"/>
        <w:left w:val="none" w:sz="0" w:space="0" w:color="auto"/>
        <w:bottom w:val="none" w:sz="0" w:space="0" w:color="auto"/>
        <w:right w:val="none" w:sz="0" w:space="0" w:color="auto"/>
      </w:divBdr>
    </w:div>
    <w:div w:id="1091391266">
      <w:bodyDiv w:val="1"/>
      <w:marLeft w:val="0"/>
      <w:marRight w:val="0"/>
      <w:marTop w:val="0"/>
      <w:marBottom w:val="0"/>
      <w:divBdr>
        <w:top w:val="none" w:sz="0" w:space="0" w:color="auto"/>
        <w:left w:val="none" w:sz="0" w:space="0" w:color="auto"/>
        <w:bottom w:val="none" w:sz="0" w:space="0" w:color="auto"/>
        <w:right w:val="none" w:sz="0" w:space="0" w:color="auto"/>
      </w:divBdr>
    </w:div>
    <w:div w:id="1347289202">
      <w:bodyDiv w:val="1"/>
      <w:marLeft w:val="0"/>
      <w:marRight w:val="0"/>
      <w:marTop w:val="0"/>
      <w:marBottom w:val="0"/>
      <w:divBdr>
        <w:top w:val="none" w:sz="0" w:space="0" w:color="auto"/>
        <w:left w:val="none" w:sz="0" w:space="0" w:color="auto"/>
        <w:bottom w:val="none" w:sz="0" w:space="0" w:color="auto"/>
        <w:right w:val="none" w:sz="0" w:space="0" w:color="auto"/>
      </w:divBdr>
    </w:div>
    <w:div w:id="1667781902">
      <w:bodyDiv w:val="1"/>
      <w:marLeft w:val="0"/>
      <w:marRight w:val="0"/>
      <w:marTop w:val="0"/>
      <w:marBottom w:val="0"/>
      <w:divBdr>
        <w:top w:val="none" w:sz="0" w:space="0" w:color="auto"/>
        <w:left w:val="none" w:sz="0" w:space="0" w:color="auto"/>
        <w:bottom w:val="none" w:sz="0" w:space="0" w:color="auto"/>
        <w:right w:val="none" w:sz="0" w:space="0" w:color="auto"/>
      </w:divBdr>
    </w:div>
    <w:div w:id="1720935694">
      <w:bodyDiv w:val="1"/>
      <w:marLeft w:val="0"/>
      <w:marRight w:val="0"/>
      <w:marTop w:val="0"/>
      <w:marBottom w:val="0"/>
      <w:divBdr>
        <w:top w:val="none" w:sz="0" w:space="0" w:color="auto"/>
        <w:left w:val="none" w:sz="0" w:space="0" w:color="auto"/>
        <w:bottom w:val="none" w:sz="0" w:space="0" w:color="auto"/>
        <w:right w:val="none" w:sz="0" w:space="0" w:color="auto"/>
      </w:divBdr>
    </w:div>
    <w:div w:id="1848405584">
      <w:bodyDiv w:val="1"/>
      <w:marLeft w:val="0"/>
      <w:marRight w:val="0"/>
      <w:marTop w:val="0"/>
      <w:marBottom w:val="0"/>
      <w:divBdr>
        <w:top w:val="none" w:sz="0" w:space="0" w:color="auto"/>
        <w:left w:val="none" w:sz="0" w:space="0" w:color="auto"/>
        <w:bottom w:val="none" w:sz="0" w:space="0" w:color="auto"/>
        <w:right w:val="none" w:sz="0" w:space="0" w:color="auto"/>
      </w:divBdr>
    </w:div>
    <w:div w:id="1861964302">
      <w:bodyDiv w:val="1"/>
      <w:marLeft w:val="0"/>
      <w:marRight w:val="0"/>
      <w:marTop w:val="0"/>
      <w:marBottom w:val="0"/>
      <w:divBdr>
        <w:top w:val="none" w:sz="0" w:space="0" w:color="auto"/>
        <w:left w:val="none" w:sz="0" w:space="0" w:color="auto"/>
        <w:bottom w:val="none" w:sz="0" w:space="0" w:color="auto"/>
        <w:right w:val="none" w:sz="0" w:space="0" w:color="auto"/>
      </w:divBdr>
    </w:div>
    <w:div w:id="1934973200">
      <w:bodyDiv w:val="1"/>
      <w:marLeft w:val="0"/>
      <w:marRight w:val="0"/>
      <w:marTop w:val="0"/>
      <w:marBottom w:val="0"/>
      <w:divBdr>
        <w:top w:val="none" w:sz="0" w:space="0" w:color="auto"/>
        <w:left w:val="none" w:sz="0" w:space="0" w:color="auto"/>
        <w:bottom w:val="none" w:sz="0" w:space="0" w:color="auto"/>
        <w:right w:val="none" w:sz="0" w:space="0" w:color="auto"/>
      </w:divBdr>
    </w:div>
    <w:div w:id="1963459731">
      <w:bodyDiv w:val="1"/>
      <w:marLeft w:val="0"/>
      <w:marRight w:val="0"/>
      <w:marTop w:val="0"/>
      <w:marBottom w:val="0"/>
      <w:divBdr>
        <w:top w:val="none" w:sz="0" w:space="0" w:color="auto"/>
        <w:left w:val="none" w:sz="0" w:space="0" w:color="auto"/>
        <w:bottom w:val="none" w:sz="0" w:space="0" w:color="auto"/>
        <w:right w:val="none" w:sz="0" w:space="0" w:color="auto"/>
      </w:divBdr>
    </w:div>
    <w:div w:id="1984306535">
      <w:bodyDiv w:val="1"/>
      <w:marLeft w:val="0"/>
      <w:marRight w:val="0"/>
      <w:marTop w:val="0"/>
      <w:marBottom w:val="0"/>
      <w:divBdr>
        <w:top w:val="none" w:sz="0" w:space="0" w:color="auto"/>
        <w:left w:val="none" w:sz="0" w:space="0" w:color="auto"/>
        <w:bottom w:val="none" w:sz="0" w:space="0" w:color="auto"/>
        <w:right w:val="none" w:sz="0" w:space="0" w:color="auto"/>
      </w:divBdr>
    </w:div>
    <w:div w:id="20796714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934E767-D681-43F5-B50F-6604268E4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5117</Words>
  <Characters>28145</Characters>
  <Application>Microsoft Office Word</Application>
  <DocSecurity>0</DocSecurity>
  <Lines>234</Lines>
  <Paragraphs>66</Paragraphs>
  <ScaleCrop>false</ScaleCrop>
  <Company>Nickolas Mena Palma</Company>
  <LinksUpToDate>false</LinksUpToDate>
  <CharactersWithSpaces>33196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Nickolas Mena Palma</dc:creator>
  <cp:keywords/>
  <dc:description/>
  <cp:lastModifiedBy>Leonardo Lueiza Ureta</cp:lastModifiedBy>
  <cp:revision>6</cp:revision>
  <dcterms:created xsi:type="dcterms:W3CDTF">2018-11-28T20:58:00Z</dcterms:created>
  <dcterms:modified xsi:type="dcterms:W3CDTF">2018-12-11T21:43:00Z</dcterms:modified>
</cp:coreProperties>
</file>