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43" w:rsidRDefault="00730843" w:rsidP="00730843"/>
    <w:p w:rsidR="00730843" w:rsidRDefault="00DB3E59" w:rsidP="00DB3E59">
      <w:pPr>
        <w:ind w:left="426" w:right="616"/>
        <w:jc w:val="center"/>
        <w:rPr>
          <w:b/>
          <w:sz w:val="28"/>
          <w:szCs w:val="28"/>
        </w:rPr>
      </w:pPr>
      <w:r w:rsidRPr="00DB3E59">
        <w:rPr>
          <w:b/>
          <w:sz w:val="28"/>
          <w:szCs w:val="28"/>
        </w:rPr>
        <w:t xml:space="preserve">Modifica la ley N°18.892, General de Pesca y Acuicultura, con el objeto de exigir la remoción de sedimentos a los titulares de concesiones de acuicultura para </w:t>
      </w:r>
      <w:r>
        <w:rPr>
          <w:b/>
          <w:sz w:val="28"/>
          <w:szCs w:val="28"/>
        </w:rPr>
        <w:t>el cultivo de especies exóticas</w:t>
      </w:r>
    </w:p>
    <w:p w:rsidR="00DB3E59" w:rsidRDefault="00DB3E59" w:rsidP="00DB3E59">
      <w:pPr>
        <w:ind w:left="426" w:right="616"/>
        <w:jc w:val="center"/>
        <w:rPr>
          <w:b/>
          <w:sz w:val="28"/>
          <w:szCs w:val="28"/>
        </w:rPr>
      </w:pPr>
    </w:p>
    <w:p w:rsidR="00DB3E59" w:rsidRDefault="00DB3E59" w:rsidP="00DB3E59">
      <w:pPr>
        <w:ind w:left="426" w:right="6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Boletín N°12050-21</w:t>
      </w:r>
      <w:bookmarkStart w:id="0" w:name="_GoBack"/>
      <w:bookmarkEnd w:id="0"/>
    </w:p>
    <w:p w:rsidR="00DB3E59" w:rsidRPr="00EA3410" w:rsidRDefault="00DB3E59" w:rsidP="005C489D">
      <w:pPr>
        <w:ind w:left="426" w:right="616"/>
        <w:jc w:val="both"/>
        <w:rPr>
          <w:sz w:val="28"/>
          <w:szCs w:val="28"/>
        </w:rPr>
      </w:pPr>
    </w:p>
    <w:p w:rsidR="00730843" w:rsidRDefault="00730843" w:rsidP="00730843"/>
    <w:p w:rsidR="00730843" w:rsidRPr="0029660D" w:rsidRDefault="00EA3410" w:rsidP="005C489D">
      <w:pPr>
        <w:ind w:left="426" w:right="474"/>
        <w:rPr>
          <w:b/>
          <w:sz w:val="28"/>
          <w:szCs w:val="28"/>
        </w:rPr>
      </w:pPr>
      <w:r w:rsidRPr="0029660D">
        <w:rPr>
          <w:b/>
          <w:sz w:val="28"/>
          <w:szCs w:val="28"/>
        </w:rPr>
        <w:t>ANTECEDENTES</w:t>
      </w:r>
    </w:p>
    <w:p w:rsidR="00551B47" w:rsidRPr="00B33DE7" w:rsidRDefault="002A7263" w:rsidP="005C489D">
      <w:pPr>
        <w:ind w:left="426" w:right="474"/>
        <w:jc w:val="both"/>
        <w:rPr>
          <w:sz w:val="28"/>
          <w:szCs w:val="28"/>
        </w:rPr>
      </w:pPr>
      <w:r w:rsidRPr="00B33DE7">
        <w:rPr>
          <w:sz w:val="28"/>
          <w:szCs w:val="28"/>
        </w:rPr>
        <w:t xml:space="preserve">Como es sabido, nuestra Constitución Política, </w:t>
      </w:r>
      <w:r w:rsidR="00551B47" w:rsidRPr="00B33DE7">
        <w:rPr>
          <w:sz w:val="28"/>
          <w:szCs w:val="28"/>
        </w:rPr>
        <w:t xml:space="preserve">fijó diversos principios, los cuales deben ser asumidos por el Estado. Uno de ellos es el que se establece en el artículo 8° de la Constitución, el cual </w:t>
      </w:r>
      <w:r w:rsidR="00490ED0" w:rsidRPr="00B33DE7">
        <w:rPr>
          <w:sz w:val="28"/>
          <w:szCs w:val="28"/>
        </w:rPr>
        <w:t xml:space="preserve">señala </w:t>
      </w:r>
      <w:r w:rsidR="00551B47" w:rsidRPr="00B33DE7">
        <w:rPr>
          <w:i/>
          <w:sz w:val="28"/>
          <w:szCs w:val="28"/>
        </w:rPr>
        <w:t>“el derecho a vivir en un medio ambiente libre de contaminación. Es deber del Estado velar para que este derecho no sea afectado y tutelar la preservación de la naturaleza.”</w:t>
      </w:r>
      <w:r w:rsidR="00490ED0" w:rsidRPr="00B33DE7">
        <w:rPr>
          <w:i/>
          <w:sz w:val="28"/>
          <w:szCs w:val="28"/>
        </w:rPr>
        <w:t xml:space="preserve">, </w:t>
      </w:r>
      <w:r w:rsidR="00490ED0" w:rsidRPr="00B33DE7">
        <w:rPr>
          <w:sz w:val="28"/>
          <w:szCs w:val="28"/>
        </w:rPr>
        <w:t>por lo tanto es responsabilidad del Estado velar por el resguardo de nuestro patrimonio natural, entendido esto último, como el cuidado de la calidad de sus aguas y de las especies que viven en ella.</w:t>
      </w:r>
    </w:p>
    <w:p w:rsidR="00551B47" w:rsidRPr="00B33DE7" w:rsidRDefault="00490ED0" w:rsidP="005C489D">
      <w:pPr>
        <w:ind w:left="426" w:right="474"/>
        <w:jc w:val="both"/>
        <w:rPr>
          <w:sz w:val="28"/>
          <w:szCs w:val="28"/>
        </w:rPr>
      </w:pPr>
      <w:r w:rsidRPr="00B33DE7">
        <w:rPr>
          <w:sz w:val="28"/>
          <w:szCs w:val="28"/>
        </w:rPr>
        <w:t xml:space="preserve">Toda actividad productiva genera externalidades negativas </w:t>
      </w:r>
      <w:r w:rsidR="00670FF3" w:rsidRPr="00B33DE7">
        <w:rPr>
          <w:sz w:val="28"/>
          <w:szCs w:val="28"/>
        </w:rPr>
        <w:t xml:space="preserve">las cuales deben ser abordadas </w:t>
      </w:r>
      <w:r w:rsidRPr="00B33DE7">
        <w:rPr>
          <w:sz w:val="28"/>
          <w:szCs w:val="28"/>
        </w:rPr>
        <w:t>y la acuicultura intensiva de especies exóticas no es ajena a esto. Está actividad hace uso de un recurso natural, siendo en el caso de la acuicultura de salmonídeos, el agua.</w:t>
      </w:r>
    </w:p>
    <w:p w:rsidR="0082257A" w:rsidRPr="00B33DE7" w:rsidRDefault="0082257A" w:rsidP="005C489D">
      <w:pPr>
        <w:ind w:left="426" w:right="474"/>
        <w:jc w:val="both"/>
        <w:rPr>
          <w:sz w:val="28"/>
          <w:szCs w:val="28"/>
        </w:rPr>
      </w:pPr>
      <w:r w:rsidRPr="00B33DE7">
        <w:rPr>
          <w:sz w:val="28"/>
          <w:szCs w:val="28"/>
        </w:rPr>
        <w:t>Según publicaciones internacionales, en la actualidad existe una mayor conciencia de los efectos negativos de altas descargas de exceso de alimento y heces, nutrientes y productos químicos terapéuticos en el ambiente marino que ha llevado a un mayor escrutinio de la industria de la acuicultura. A este modo de cultivo le han atribuido varios impactos ambientales, entre los que se incluyen: alteración de ambientes bentónicos debajo de las balsas jaulas (heces y alimento no consumido)</w:t>
      </w:r>
      <w:r w:rsidR="006A3596" w:rsidRPr="00B33DE7">
        <w:rPr>
          <w:sz w:val="28"/>
          <w:szCs w:val="28"/>
        </w:rPr>
        <w:t xml:space="preserve">, como también </w:t>
      </w:r>
      <w:r w:rsidRPr="00B33DE7">
        <w:rPr>
          <w:sz w:val="28"/>
          <w:szCs w:val="28"/>
        </w:rPr>
        <w:t>la posible amplificación y propagación de enfermedades y parásitos a las poblaciones de peces silvestres</w:t>
      </w:r>
      <w:r w:rsidR="006A3596" w:rsidRPr="00B33DE7">
        <w:rPr>
          <w:sz w:val="28"/>
          <w:szCs w:val="28"/>
        </w:rPr>
        <w:t>.</w:t>
      </w:r>
    </w:p>
    <w:p w:rsidR="00490ED0" w:rsidRPr="00B33DE7" w:rsidRDefault="006A3596" w:rsidP="005C489D">
      <w:pPr>
        <w:ind w:left="426" w:right="474"/>
        <w:jc w:val="both"/>
        <w:rPr>
          <w:sz w:val="28"/>
          <w:szCs w:val="28"/>
        </w:rPr>
      </w:pPr>
      <w:r w:rsidRPr="00B33DE7">
        <w:rPr>
          <w:sz w:val="28"/>
          <w:szCs w:val="28"/>
        </w:rPr>
        <w:lastRenderedPageBreak/>
        <w:t>En atención a lo recientemente indicado</w:t>
      </w:r>
      <w:r w:rsidR="00490ED0" w:rsidRPr="00B33DE7">
        <w:rPr>
          <w:sz w:val="28"/>
          <w:szCs w:val="28"/>
        </w:rPr>
        <w:t>, el Estado en el tiempo ha dictado diversas normas, las cuales tienden a que los efectos sobre este recurso natural, como de otros organismos presente en él, se vea afectados lo menos posible.</w:t>
      </w:r>
    </w:p>
    <w:p w:rsidR="009640CB" w:rsidRPr="00B33DE7" w:rsidRDefault="00B5162A" w:rsidP="005C489D">
      <w:pPr>
        <w:ind w:left="426" w:right="474"/>
        <w:jc w:val="both"/>
        <w:rPr>
          <w:i/>
          <w:sz w:val="28"/>
          <w:szCs w:val="28"/>
        </w:rPr>
      </w:pPr>
      <w:r w:rsidRPr="00B33DE7">
        <w:rPr>
          <w:sz w:val="28"/>
          <w:szCs w:val="28"/>
        </w:rPr>
        <w:t xml:space="preserve">En función de lo anterior, la Ley General de Pesca y Acuicultura, señala en </w:t>
      </w:r>
      <w:r w:rsidR="009640CB" w:rsidRPr="00B33DE7">
        <w:rPr>
          <w:sz w:val="28"/>
          <w:szCs w:val="28"/>
        </w:rPr>
        <w:t xml:space="preserve">el artículo 1 B </w:t>
      </w:r>
      <w:r w:rsidRPr="00B33DE7">
        <w:rPr>
          <w:sz w:val="28"/>
          <w:szCs w:val="28"/>
        </w:rPr>
        <w:t xml:space="preserve">que </w:t>
      </w:r>
      <w:r w:rsidRPr="00B33DE7">
        <w:rPr>
          <w:i/>
          <w:sz w:val="28"/>
          <w:szCs w:val="28"/>
        </w:rPr>
        <w:t>“</w:t>
      </w:r>
      <w:r w:rsidR="009640CB" w:rsidRPr="00B33DE7">
        <w:rPr>
          <w:i/>
          <w:sz w:val="28"/>
          <w:szCs w:val="28"/>
        </w:rPr>
        <w:t>el objetivo de la ley es</w:t>
      </w:r>
      <w:r w:rsidRPr="00B33DE7">
        <w:rPr>
          <w:i/>
          <w:sz w:val="28"/>
          <w:szCs w:val="28"/>
        </w:rPr>
        <w:t xml:space="preserve"> </w:t>
      </w:r>
      <w:r w:rsidR="009640CB" w:rsidRPr="00B33DE7">
        <w:rPr>
          <w:i/>
          <w:sz w:val="28"/>
          <w:szCs w:val="28"/>
        </w:rPr>
        <w:t>la conservación y el uso sustentable de los recursos hidrobiológicos, mediante la aplicación del enfoque precautorio, de un enfoque ecosistémico en la regulación pesquera y la salvaguarda de los ecosistemas marinos en que existan esos recursos.”</w:t>
      </w:r>
    </w:p>
    <w:p w:rsidR="00490ED0" w:rsidRPr="00B33DE7" w:rsidRDefault="00B5162A" w:rsidP="005C489D">
      <w:pPr>
        <w:ind w:left="426" w:right="474"/>
        <w:jc w:val="both"/>
        <w:rPr>
          <w:sz w:val="28"/>
          <w:szCs w:val="28"/>
        </w:rPr>
      </w:pPr>
      <w:r w:rsidRPr="00B33DE7">
        <w:rPr>
          <w:sz w:val="28"/>
          <w:szCs w:val="28"/>
        </w:rPr>
        <w:t xml:space="preserve">Por otra parte y en materia </w:t>
      </w:r>
      <w:r w:rsidR="00490ED0" w:rsidRPr="00B33DE7">
        <w:rPr>
          <w:sz w:val="28"/>
          <w:szCs w:val="28"/>
        </w:rPr>
        <w:t>de acuicultura de salmones, la Ley General de Pesca y Acuicultura en su artículo 74</w:t>
      </w:r>
      <w:r w:rsidR="00175F54" w:rsidRPr="00B33DE7">
        <w:rPr>
          <w:sz w:val="28"/>
          <w:szCs w:val="28"/>
        </w:rPr>
        <w:t xml:space="preserve">, inciso final, establece que </w:t>
      </w:r>
      <w:r w:rsidR="00175F54" w:rsidRPr="00B33DE7">
        <w:rPr>
          <w:i/>
          <w:sz w:val="28"/>
          <w:szCs w:val="28"/>
        </w:rPr>
        <w:t>“La mantención de la limpieza y del equilibrio ecológico de la zona concedida, cuya alteración tenga como causa la actividad acuícola será de responsabilidad del concesionario, de conformidad con los reglamentos que se dicten.”</w:t>
      </w:r>
    </w:p>
    <w:p w:rsidR="00490ED0" w:rsidRPr="00B33DE7" w:rsidRDefault="00C653A5" w:rsidP="005C489D">
      <w:pPr>
        <w:ind w:left="426" w:right="474"/>
        <w:jc w:val="both"/>
        <w:rPr>
          <w:sz w:val="28"/>
          <w:szCs w:val="28"/>
        </w:rPr>
      </w:pPr>
      <w:r w:rsidRPr="00B33DE7">
        <w:rPr>
          <w:sz w:val="28"/>
          <w:szCs w:val="28"/>
        </w:rPr>
        <w:t xml:space="preserve">Sumado a lo anterior, el artículo 87 obliga a </w:t>
      </w:r>
      <w:r w:rsidRPr="00B33DE7">
        <w:rPr>
          <w:i/>
          <w:sz w:val="28"/>
          <w:szCs w:val="28"/>
        </w:rPr>
        <w:t>“reglamentar las medidas de protección del medio ambiente para que los establecimientos que exploten concesiones o autorizaciones de acuicultura operen en niveles compatibles con las capacidades de carga de los cuerpos de agua lacustres, fluviales y marítimos, que asegure la vida acuática y la prevención del surgimiento de condiciones anaeróbicas en las áreas de impacto de la acuicultura.”</w:t>
      </w:r>
    </w:p>
    <w:p w:rsidR="007343D3" w:rsidRPr="00B33DE7" w:rsidRDefault="007343D3" w:rsidP="005C489D">
      <w:pPr>
        <w:ind w:left="426" w:right="474"/>
        <w:jc w:val="both"/>
        <w:rPr>
          <w:sz w:val="28"/>
          <w:szCs w:val="28"/>
        </w:rPr>
      </w:pPr>
      <w:r w:rsidRPr="00B33DE7">
        <w:rPr>
          <w:sz w:val="28"/>
          <w:szCs w:val="28"/>
        </w:rPr>
        <w:t xml:space="preserve">En materia reglamentaria, el Reglamento Ambiental para la Acuicultura (RAMA) hace referencia a </w:t>
      </w:r>
      <w:r w:rsidR="00BE58A8" w:rsidRPr="00B33DE7">
        <w:rPr>
          <w:sz w:val="28"/>
          <w:szCs w:val="28"/>
        </w:rPr>
        <w:t xml:space="preserve">la </w:t>
      </w:r>
      <w:r w:rsidRPr="00B33DE7">
        <w:rPr>
          <w:sz w:val="28"/>
          <w:szCs w:val="28"/>
        </w:rPr>
        <w:t>área de sedimentación de una concesión de acuicultura</w:t>
      </w:r>
      <w:r w:rsidR="00BE58A8" w:rsidRPr="00B33DE7">
        <w:rPr>
          <w:sz w:val="28"/>
          <w:szCs w:val="28"/>
        </w:rPr>
        <w:t xml:space="preserve">, definiéndola como </w:t>
      </w:r>
      <w:r w:rsidR="00BE58A8" w:rsidRPr="00B33DE7">
        <w:rPr>
          <w:i/>
          <w:sz w:val="28"/>
          <w:szCs w:val="28"/>
        </w:rPr>
        <w:t>“el</w:t>
      </w:r>
      <w:r w:rsidRPr="00B33DE7">
        <w:rPr>
          <w:i/>
          <w:sz w:val="28"/>
          <w:szCs w:val="28"/>
        </w:rPr>
        <w:t xml:space="preserve"> sustrato ubicado directamente bajo los módulos de cultivo</w:t>
      </w:r>
      <w:r w:rsidR="00BE58A8" w:rsidRPr="00B33DE7">
        <w:rPr>
          <w:i/>
          <w:sz w:val="28"/>
          <w:szCs w:val="28"/>
        </w:rPr>
        <w:t>….”</w:t>
      </w:r>
      <w:r w:rsidR="00BE58A8" w:rsidRPr="00B33DE7">
        <w:rPr>
          <w:sz w:val="28"/>
          <w:szCs w:val="28"/>
        </w:rPr>
        <w:t>,</w:t>
      </w:r>
      <w:r w:rsidR="00B8553C" w:rsidRPr="00B33DE7">
        <w:rPr>
          <w:sz w:val="28"/>
          <w:szCs w:val="28"/>
        </w:rPr>
        <w:t xml:space="preserve"> y en otro artículo de dicho reglamento se señala </w:t>
      </w:r>
      <w:r w:rsidR="00B8553C" w:rsidRPr="00B33DE7">
        <w:rPr>
          <w:i/>
          <w:sz w:val="28"/>
          <w:szCs w:val="28"/>
        </w:rPr>
        <w:t>“que se supera la capacidad de un cuerpo de agua  cuando el área de sedimentación o la columna de agua, según corresponda, presente condiciones anaeróbicas.”</w:t>
      </w:r>
    </w:p>
    <w:p w:rsidR="007343D3" w:rsidRPr="00B33DE7" w:rsidRDefault="00B045E1" w:rsidP="005C489D">
      <w:pPr>
        <w:ind w:left="426" w:right="474"/>
        <w:jc w:val="both"/>
        <w:rPr>
          <w:sz w:val="28"/>
          <w:szCs w:val="28"/>
        </w:rPr>
      </w:pPr>
      <w:r w:rsidRPr="00B33DE7">
        <w:rPr>
          <w:sz w:val="28"/>
          <w:szCs w:val="28"/>
        </w:rPr>
        <w:t xml:space="preserve">Si bien es cierto en el </w:t>
      </w:r>
      <w:r w:rsidR="00A41DAA" w:rsidRPr="00B33DE7">
        <w:rPr>
          <w:sz w:val="28"/>
          <w:szCs w:val="28"/>
        </w:rPr>
        <w:t xml:space="preserve">Reglamento Ambiental para la Acuicultura se establece que todo centro de cultivo deberá </w:t>
      </w:r>
      <w:r w:rsidR="00373B6D" w:rsidRPr="00B33DE7">
        <w:rPr>
          <w:i/>
          <w:sz w:val="28"/>
          <w:szCs w:val="28"/>
        </w:rPr>
        <w:t>“</w:t>
      </w:r>
      <w:r w:rsidR="00A41DAA" w:rsidRPr="00B33DE7">
        <w:rPr>
          <w:sz w:val="28"/>
          <w:szCs w:val="28"/>
        </w:rPr>
        <w:t xml:space="preserve">adoptar medidas para impedir el vertimiento de residuos y desechos sólidos y líquidos, que </w:t>
      </w:r>
      <w:r w:rsidR="00A41DAA" w:rsidRPr="00B33DE7">
        <w:rPr>
          <w:sz w:val="28"/>
          <w:szCs w:val="28"/>
        </w:rPr>
        <w:lastRenderedPageBreak/>
        <w:t>tengan como causa la actividad, incluidas las mortalidades, compuestos sanguíneos, sustancias químicas, lodos y en general materiales y sustancias de cualquier origen, que puedan afectar el fondo marino</w:t>
      </w:r>
      <w:r w:rsidR="00373B6D" w:rsidRPr="00B33DE7">
        <w:rPr>
          <w:sz w:val="28"/>
          <w:szCs w:val="28"/>
        </w:rPr>
        <w:t>”</w:t>
      </w:r>
      <w:r w:rsidR="00A41DAA" w:rsidRPr="00B33DE7">
        <w:rPr>
          <w:sz w:val="28"/>
          <w:szCs w:val="28"/>
        </w:rPr>
        <w:t>, no hace una referencia explícita a la remoción de los lodos.</w:t>
      </w:r>
    </w:p>
    <w:p w:rsidR="00730843" w:rsidRDefault="00987D4C" w:rsidP="005C489D">
      <w:pPr>
        <w:ind w:left="426" w:right="474"/>
        <w:jc w:val="both"/>
        <w:rPr>
          <w:sz w:val="28"/>
          <w:szCs w:val="28"/>
        </w:rPr>
      </w:pPr>
      <w:r w:rsidRPr="00B33DE7">
        <w:rPr>
          <w:sz w:val="28"/>
          <w:szCs w:val="28"/>
        </w:rPr>
        <w:t>Por lo anteriormente expuesto, el diputado que suscribe viene en presentar el presente proyecto de ley</w:t>
      </w:r>
      <w:r w:rsidR="0029660D" w:rsidRPr="00B33DE7">
        <w:rPr>
          <w:sz w:val="28"/>
          <w:szCs w:val="28"/>
        </w:rPr>
        <w:t xml:space="preserve">, </w:t>
      </w:r>
    </w:p>
    <w:p w:rsidR="000B17AA" w:rsidRDefault="000B17AA" w:rsidP="005C489D">
      <w:pPr>
        <w:ind w:left="426" w:right="474"/>
        <w:jc w:val="both"/>
        <w:rPr>
          <w:sz w:val="28"/>
          <w:szCs w:val="28"/>
        </w:rPr>
      </w:pPr>
    </w:p>
    <w:p w:rsidR="000B17AA" w:rsidRPr="00B33DE7" w:rsidRDefault="000B17AA" w:rsidP="005C489D">
      <w:pPr>
        <w:ind w:left="426" w:right="474"/>
        <w:jc w:val="both"/>
        <w:rPr>
          <w:sz w:val="28"/>
          <w:szCs w:val="28"/>
        </w:rPr>
      </w:pPr>
    </w:p>
    <w:p w:rsidR="00730843" w:rsidRPr="000B17AA" w:rsidRDefault="00730843" w:rsidP="005C489D">
      <w:pPr>
        <w:ind w:left="426" w:right="474"/>
        <w:jc w:val="center"/>
        <w:rPr>
          <w:b/>
          <w:sz w:val="28"/>
          <w:szCs w:val="28"/>
        </w:rPr>
      </w:pPr>
      <w:r w:rsidRPr="000B17AA">
        <w:rPr>
          <w:b/>
          <w:sz w:val="28"/>
          <w:szCs w:val="28"/>
        </w:rPr>
        <w:t>Proyecto de Ley</w:t>
      </w:r>
    </w:p>
    <w:p w:rsidR="000B17AA" w:rsidRPr="000B17AA" w:rsidRDefault="000B17AA" w:rsidP="005C489D">
      <w:pPr>
        <w:ind w:left="426" w:right="474"/>
        <w:rPr>
          <w:b/>
          <w:sz w:val="28"/>
          <w:szCs w:val="28"/>
        </w:rPr>
      </w:pPr>
      <w:r w:rsidRPr="000B17AA">
        <w:rPr>
          <w:b/>
          <w:sz w:val="28"/>
          <w:szCs w:val="28"/>
        </w:rPr>
        <w:t>Modifícase la Ley General de Pesca y Acuicultura en la forma que se indica a continuación:</w:t>
      </w:r>
    </w:p>
    <w:p w:rsidR="00373B21" w:rsidRPr="00B33DE7" w:rsidRDefault="00730843" w:rsidP="005C489D">
      <w:pPr>
        <w:ind w:left="426" w:right="474"/>
        <w:rPr>
          <w:sz w:val="28"/>
          <w:szCs w:val="28"/>
        </w:rPr>
      </w:pPr>
      <w:r w:rsidRPr="000B17AA">
        <w:rPr>
          <w:b/>
          <w:sz w:val="28"/>
          <w:szCs w:val="28"/>
        </w:rPr>
        <w:t xml:space="preserve">Artículo 1: </w:t>
      </w:r>
      <w:r w:rsidR="00656186" w:rsidRPr="00B33DE7">
        <w:rPr>
          <w:sz w:val="28"/>
          <w:szCs w:val="28"/>
        </w:rPr>
        <w:t>Incorpórese el artículo 74 bis</w:t>
      </w:r>
      <w:r w:rsidR="00373B21" w:rsidRPr="00B33DE7">
        <w:rPr>
          <w:sz w:val="28"/>
          <w:szCs w:val="28"/>
        </w:rPr>
        <w:t>, nuevo:</w:t>
      </w:r>
    </w:p>
    <w:p w:rsidR="00730843" w:rsidRPr="00B33DE7" w:rsidRDefault="00373B21" w:rsidP="005C489D">
      <w:pPr>
        <w:ind w:left="993" w:right="1183"/>
        <w:jc w:val="both"/>
        <w:rPr>
          <w:b/>
          <w:i/>
          <w:sz w:val="28"/>
          <w:szCs w:val="28"/>
        </w:rPr>
      </w:pPr>
      <w:r w:rsidRPr="00B33DE7">
        <w:rPr>
          <w:b/>
          <w:i/>
          <w:sz w:val="28"/>
          <w:szCs w:val="28"/>
        </w:rPr>
        <w:t>“Artículo 74 bis.- Los</w:t>
      </w:r>
      <w:r w:rsidR="00730843" w:rsidRPr="00B33DE7">
        <w:rPr>
          <w:b/>
          <w:i/>
          <w:sz w:val="28"/>
          <w:szCs w:val="28"/>
        </w:rPr>
        <w:t xml:space="preserve"> titulares de concesiones</w:t>
      </w:r>
      <w:r w:rsidRPr="00B33DE7">
        <w:rPr>
          <w:b/>
          <w:i/>
          <w:sz w:val="28"/>
          <w:szCs w:val="28"/>
        </w:rPr>
        <w:t xml:space="preserve">, o quien tenga un derecho sobre dicha concesión </w:t>
      </w:r>
      <w:r w:rsidR="00730843" w:rsidRPr="00B33DE7">
        <w:rPr>
          <w:b/>
          <w:i/>
          <w:sz w:val="28"/>
          <w:szCs w:val="28"/>
        </w:rPr>
        <w:t xml:space="preserve">de acuicultura cuyo objeto sea el cultivo de especies exóticas, deberán </w:t>
      </w:r>
      <w:r w:rsidR="00B27616" w:rsidRPr="00B33DE7">
        <w:rPr>
          <w:b/>
          <w:i/>
          <w:sz w:val="28"/>
          <w:szCs w:val="28"/>
        </w:rPr>
        <w:t xml:space="preserve">remover </w:t>
      </w:r>
      <w:r w:rsidR="00894A02" w:rsidRPr="00B33DE7">
        <w:rPr>
          <w:b/>
          <w:i/>
          <w:sz w:val="28"/>
          <w:szCs w:val="28"/>
        </w:rPr>
        <w:t xml:space="preserve">el </w:t>
      </w:r>
      <w:r w:rsidR="00754716" w:rsidRPr="00B33DE7">
        <w:rPr>
          <w:b/>
          <w:i/>
          <w:sz w:val="28"/>
          <w:szCs w:val="28"/>
        </w:rPr>
        <w:t xml:space="preserve">material </w:t>
      </w:r>
      <w:r w:rsidR="00894A02" w:rsidRPr="00B33DE7">
        <w:rPr>
          <w:b/>
          <w:i/>
          <w:sz w:val="28"/>
          <w:szCs w:val="28"/>
        </w:rPr>
        <w:t>sediment</w:t>
      </w:r>
      <w:r w:rsidR="00754716" w:rsidRPr="00B33DE7">
        <w:rPr>
          <w:b/>
          <w:i/>
          <w:sz w:val="28"/>
          <w:szCs w:val="28"/>
        </w:rPr>
        <w:t xml:space="preserve">ado que se </w:t>
      </w:r>
      <w:r w:rsidR="00894A02" w:rsidRPr="00B33DE7">
        <w:rPr>
          <w:b/>
          <w:i/>
          <w:sz w:val="28"/>
          <w:szCs w:val="28"/>
        </w:rPr>
        <w:t>acumula en el sustrato de su concesión. Dicha remoción se realizará durante el período de descanso que establece el Servicio Nacional de Pesca y Acuicultura.</w:t>
      </w:r>
      <w:r w:rsidRPr="00B33DE7">
        <w:rPr>
          <w:b/>
          <w:i/>
          <w:sz w:val="28"/>
          <w:szCs w:val="28"/>
        </w:rPr>
        <w:t>”</w:t>
      </w:r>
    </w:p>
    <w:p w:rsidR="00373B21" w:rsidRPr="00B33DE7" w:rsidRDefault="00791C3D" w:rsidP="005C489D">
      <w:pPr>
        <w:ind w:left="426" w:right="474"/>
        <w:rPr>
          <w:sz w:val="28"/>
          <w:szCs w:val="28"/>
        </w:rPr>
      </w:pPr>
      <w:r w:rsidRPr="00B33DE7">
        <w:rPr>
          <w:sz w:val="28"/>
          <w:szCs w:val="28"/>
        </w:rPr>
        <w:t xml:space="preserve">Artículo 2: </w:t>
      </w:r>
      <w:r w:rsidR="00462995" w:rsidRPr="00B33DE7">
        <w:rPr>
          <w:sz w:val="28"/>
          <w:szCs w:val="28"/>
        </w:rPr>
        <w:t xml:space="preserve">Agréguese </w:t>
      </w:r>
      <w:r w:rsidRPr="00B33DE7">
        <w:rPr>
          <w:sz w:val="28"/>
          <w:szCs w:val="28"/>
        </w:rPr>
        <w:t xml:space="preserve">en el artículo 118 ter </w:t>
      </w:r>
      <w:r w:rsidR="00462995" w:rsidRPr="00B33DE7">
        <w:rPr>
          <w:sz w:val="28"/>
          <w:szCs w:val="28"/>
        </w:rPr>
        <w:t>el literal h)</w:t>
      </w:r>
    </w:p>
    <w:p w:rsidR="00462995" w:rsidRPr="00B33DE7" w:rsidRDefault="00462995" w:rsidP="005C489D">
      <w:pPr>
        <w:ind w:left="993" w:right="1183"/>
        <w:jc w:val="both"/>
        <w:rPr>
          <w:b/>
          <w:i/>
          <w:sz w:val="28"/>
          <w:szCs w:val="28"/>
        </w:rPr>
      </w:pPr>
      <w:r w:rsidRPr="00B33DE7">
        <w:rPr>
          <w:b/>
          <w:i/>
          <w:sz w:val="28"/>
          <w:szCs w:val="28"/>
        </w:rPr>
        <w:t xml:space="preserve">“h) </w:t>
      </w:r>
      <w:r w:rsidR="000B17AA">
        <w:rPr>
          <w:b/>
          <w:i/>
          <w:sz w:val="28"/>
          <w:szCs w:val="28"/>
        </w:rPr>
        <w:t xml:space="preserve">  </w:t>
      </w:r>
      <w:r w:rsidRPr="00B33DE7">
        <w:rPr>
          <w:b/>
          <w:i/>
          <w:sz w:val="28"/>
          <w:szCs w:val="28"/>
        </w:rPr>
        <w:t>No dar cumplimiento a lo establecido en el artículo 74 bis, referido a la remoción de los sedimentos.”</w:t>
      </w:r>
    </w:p>
    <w:p w:rsidR="00462995" w:rsidRPr="00B33DE7" w:rsidRDefault="00462995" w:rsidP="005C489D">
      <w:pPr>
        <w:ind w:left="426" w:right="474"/>
        <w:jc w:val="both"/>
        <w:rPr>
          <w:sz w:val="28"/>
          <w:szCs w:val="28"/>
        </w:rPr>
      </w:pPr>
      <w:r w:rsidRPr="00B33DE7">
        <w:rPr>
          <w:sz w:val="28"/>
          <w:szCs w:val="28"/>
        </w:rPr>
        <w:t xml:space="preserve">Artículo 3: Modifíquese el inciso segundo del artículo 118 ter en el sentido de </w:t>
      </w:r>
      <w:r w:rsidR="008669FF" w:rsidRPr="00B33DE7">
        <w:rPr>
          <w:sz w:val="28"/>
          <w:szCs w:val="28"/>
        </w:rPr>
        <w:t xml:space="preserve">reemplazar la frase “En el caso de </w:t>
      </w:r>
      <w:r w:rsidR="00702FBD" w:rsidRPr="00B33DE7">
        <w:rPr>
          <w:sz w:val="28"/>
          <w:szCs w:val="28"/>
        </w:rPr>
        <w:t>las letras b), c) y e) anteriores, por la frase</w:t>
      </w:r>
      <w:r w:rsidR="008669FF" w:rsidRPr="00B33DE7">
        <w:rPr>
          <w:sz w:val="28"/>
          <w:szCs w:val="28"/>
        </w:rPr>
        <w:t xml:space="preserve"> </w:t>
      </w:r>
      <w:r w:rsidR="00702FBD" w:rsidRPr="00B33DE7">
        <w:rPr>
          <w:sz w:val="28"/>
          <w:szCs w:val="28"/>
        </w:rPr>
        <w:t>“En el caso de las letras b), c), e) y h) anteriores….”</w:t>
      </w:r>
    </w:p>
    <w:p w:rsidR="0029660D" w:rsidRPr="00B33DE7" w:rsidRDefault="0029660D" w:rsidP="00730843">
      <w:pPr>
        <w:rPr>
          <w:sz w:val="28"/>
          <w:szCs w:val="28"/>
        </w:rPr>
      </w:pPr>
    </w:p>
    <w:p w:rsidR="005A3C98" w:rsidRPr="00B33DE7" w:rsidRDefault="005A3C98" w:rsidP="005A3C98">
      <w:pPr>
        <w:jc w:val="center"/>
        <w:rPr>
          <w:b/>
          <w:sz w:val="28"/>
          <w:szCs w:val="28"/>
        </w:rPr>
      </w:pPr>
      <w:r w:rsidRPr="00B33DE7">
        <w:rPr>
          <w:b/>
          <w:sz w:val="28"/>
          <w:szCs w:val="28"/>
        </w:rPr>
        <w:t>Gabriel Ascencio Mansilla</w:t>
      </w:r>
    </w:p>
    <w:p w:rsidR="00462995" w:rsidRPr="00B33DE7" w:rsidRDefault="005A3C98" w:rsidP="005A3C98">
      <w:pPr>
        <w:jc w:val="center"/>
        <w:rPr>
          <w:sz w:val="28"/>
          <w:szCs w:val="28"/>
        </w:rPr>
      </w:pPr>
      <w:r w:rsidRPr="00B33DE7">
        <w:rPr>
          <w:sz w:val="28"/>
          <w:szCs w:val="28"/>
        </w:rPr>
        <w:t>H. Diputado de la República</w:t>
      </w:r>
    </w:p>
    <w:sectPr w:rsidR="00462995" w:rsidRPr="00B33DE7" w:rsidSect="000B17AA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C9" w:rsidRDefault="00B85FC9" w:rsidP="00092791">
      <w:pPr>
        <w:spacing w:after="0" w:line="240" w:lineRule="auto"/>
      </w:pPr>
      <w:r>
        <w:separator/>
      </w:r>
    </w:p>
  </w:endnote>
  <w:endnote w:type="continuationSeparator" w:id="0">
    <w:p w:rsidR="00B85FC9" w:rsidRDefault="00B85FC9" w:rsidP="0009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C9" w:rsidRDefault="00B85FC9" w:rsidP="00092791">
      <w:pPr>
        <w:spacing w:after="0" w:line="240" w:lineRule="auto"/>
      </w:pPr>
      <w:r>
        <w:separator/>
      </w:r>
    </w:p>
  </w:footnote>
  <w:footnote w:type="continuationSeparator" w:id="0">
    <w:p w:rsidR="00B85FC9" w:rsidRDefault="00B85FC9" w:rsidP="0009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F195C"/>
    <w:multiLevelType w:val="hybridMultilevel"/>
    <w:tmpl w:val="052233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94465"/>
    <w:multiLevelType w:val="hybridMultilevel"/>
    <w:tmpl w:val="13AE53F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91"/>
    <w:rsid w:val="00031A2E"/>
    <w:rsid w:val="00092791"/>
    <w:rsid w:val="000B17AA"/>
    <w:rsid w:val="000C60E8"/>
    <w:rsid w:val="00175F54"/>
    <w:rsid w:val="0029660D"/>
    <w:rsid w:val="002A7263"/>
    <w:rsid w:val="00373B21"/>
    <w:rsid w:val="00373B6D"/>
    <w:rsid w:val="00387810"/>
    <w:rsid w:val="003B4BDB"/>
    <w:rsid w:val="00462995"/>
    <w:rsid w:val="00490ED0"/>
    <w:rsid w:val="004E3A39"/>
    <w:rsid w:val="00551B47"/>
    <w:rsid w:val="005A3C98"/>
    <w:rsid w:val="005C489D"/>
    <w:rsid w:val="00656186"/>
    <w:rsid w:val="00670FF3"/>
    <w:rsid w:val="006A3596"/>
    <w:rsid w:val="00701656"/>
    <w:rsid w:val="00702FBD"/>
    <w:rsid w:val="00730843"/>
    <w:rsid w:val="007343D3"/>
    <w:rsid w:val="00754716"/>
    <w:rsid w:val="00791C3D"/>
    <w:rsid w:val="0082257A"/>
    <w:rsid w:val="008669FF"/>
    <w:rsid w:val="00894A02"/>
    <w:rsid w:val="009617AE"/>
    <w:rsid w:val="009640CB"/>
    <w:rsid w:val="00987D4C"/>
    <w:rsid w:val="00994B6C"/>
    <w:rsid w:val="009D1655"/>
    <w:rsid w:val="00A228D5"/>
    <w:rsid w:val="00A41DAA"/>
    <w:rsid w:val="00AA265C"/>
    <w:rsid w:val="00B045E1"/>
    <w:rsid w:val="00B24D7D"/>
    <w:rsid w:val="00B27616"/>
    <w:rsid w:val="00B33DE7"/>
    <w:rsid w:val="00B5162A"/>
    <w:rsid w:val="00B8553C"/>
    <w:rsid w:val="00B85FC9"/>
    <w:rsid w:val="00BA49B3"/>
    <w:rsid w:val="00BE58A8"/>
    <w:rsid w:val="00C16D3A"/>
    <w:rsid w:val="00C42C16"/>
    <w:rsid w:val="00C653A5"/>
    <w:rsid w:val="00D16B92"/>
    <w:rsid w:val="00D32061"/>
    <w:rsid w:val="00DB3E59"/>
    <w:rsid w:val="00E55B5A"/>
    <w:rsid w:val="00E73954"/>
    <w:rsid w:val="00EA3410"/>
    <w:rsid w:val="00F315E3"/>
    <w:rsid w:val="00FB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A5B057-2ECA-4A38-8DE8-1F6058D6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2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791"/>
  </w:style>
  <w:style w:type="paragraph" w:styleId="Piedepgina">
    <w:name w:val="footer"/>
    <w:basedOn w:val="Normal"/>
    <w:link w:val="PiedepginaCar"/>
    <w:uiPriority w:val="99"/>
    <w:unhideWhenUsed/>
    <w:rsid w:val="00092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791"/>
  </w:style>
  <w:style w:type="paragraph" w:styleId="Prrafodelista">
    <w:name w:val="List Paragraph"/>
    <w:basedOn w:val="Normal"/>
    <w:uiPriority w:val="34"/>
    <w:qFormat/>
    <w:rsid w:val="00BA49B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30843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30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781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sasso.leo@gmail.com</dc:creator>
  <cp:keywords/>
  <dc:description/>
  <cp:lastModifiedBy>Leonardo Lueiza Ureta</cp:lastModifiedBy>
  <cp:revision>36</cp:revision>
  <dcterms:created xsi:type="dcterms:W3CDTF">2018-07-30T15:52:00Z</dcterms:created>
  <dcterms:modified xsi:type="dcterms:W3CDTF">2018-09-03T12:36:00Z</dcterms:modified>
</cp:coreProperties>
</file>