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103" w:rsidRDefault="00174B79">
      <w:pPr>
        <w:spacing w:before="2" w:after="275"/>
        <w:ind w:left="91" w:right="7178"/>
        <w:textAlignment w:val="baseline"/>
      </w:pPr>
      <w:r>
        <w:rPr>
          <w:noProof/>
          <w:lang w:val="es-CL" w:eastAsia="es-CL"/>
        </w:rPr>
        <w:drawing>
          <wp:inline distT="0" distB="0" distL="0" distR="0">
            <wp:extent cx="850265" cy="542290"/>
            <wp:effectExtent l="0" t="0" r="0" b="0"/>
            <wp:docPr id="1" name="pic"/>
            <wp:cNvGraphicFramePr/>
            <a:graphic xmlns:a="http://schemas.openxmlformats.org/drawingml/2006/main">
              <a:graphicData uri="http://schemas.openxmlformats.org/drawingml/2006/picture">
                <pic:pic xmlns:pic="http://schemas.openxmlformats.org/drawingml/2006/picture">
                  <pic:nvPicPr>
                    <pic:cNvPr id="2" name="test1"/>
                    <pic:cNvPicPr preferRelativeResize="0"/>
                  </pic:nvPicPr>
                  <pic:blipFill>
                    <a:blip r:embed="rId5"/>
                    <a:stretch>
                      <a:fillRect/>
                    </a:stretch>
                  </pic:blipFill>
                  <pic:spPr>
                    <a:xfrm>
                      <a:off x="0" y="0"/>
                      <a:ext cx="850265" cy="542290"/>
                    </a:xfrm>
                    <a:prstGeom prst="rect">
                      <a:avLst/>
                    </a:prstGeom>
                  </pic:spPr>
                </pic:pic>
              </a:graphicData>
            </a:graphic>
          </wp:inline>
        </w:drawing>
      </w:r>
    </w:p>
    <w:p w:rsidR="003D1103" w:rsidRDefault="00BD4E6F" w:rsidP="00BD4E6F">
      <w:pPr>
        <w:spacing w:before="366" w:line="389" w:lineRule="exact"/>
        <w:ind w:right="360"/>
        <w:jc w:val="center"/>
        <w:textAlignment w:val="baseline"/>
        <w:rPr>
          <w:rFonts w:ascii="Bookman Old Style" w:eastAsia="Bookman Old Style" w:hAnsi="Bookman Old Style"/>
          <w:b/>
          <w:color w:val="1D1D1F"/>
          <w:lang w:val="es-ES"/>
        </w:rPr>
      </w:pPr>
      <w:r w:rsidRPr="00BD4E6F">
        <w:rPr>
          <w:rFonts w:ascii="Bookman Old Style" w:eastAsia="Bookman Old Style" w:hAnsi="Bookman Old Style"/>
          <w:b/>
          <w:color w:val="1D1D1F"/>
          <w:lang w:val="es-ES"/>
        </w:rPr>
        <w:t>Modifica la Carta Fundamental para consagrar la protección de la vida del que está por nacer desde el momento de la concepción</w:t>
      </w:r>
    </w:p>
    <w:p w:rsidR="00BD4E6F" w:rsidRDefault="00BD4E6F" w:rsidP="00BD4E6F">
      <w:pPr>
        <w:spacing w:before="366" w:after="240" w:line="389" w:lineRule="exact"/>
        <w:ind w:right="357"/>
        <w:jc w:val="center"/>
        <w:textAlignment w:val="baseline"/>
        <w:rPr>
          <w:rFonts w:ascii="Bookman Old Style" w:eastAsia="Bookman Old Style" w:hAnsi="Bookman Old Style"/>
          <w:b/>
          <w:color w:val="1D1D1F"/>
          <w:spacing w:val="-1"/>
          <w:lang w:val="es-ES"/>
        </w:rPr>
      </w:pPr>
      <w:r>
        <w:rPr>
          <w:rFonts w:ascii="Bookman Old Style" w:eastAsia="Bookman Old Style" w:hAnsi="Bookman Old Style"/>
          <w:b/>
          <w:color w:val="1D1D1F"/>
          <w:spacing w:val="-1"/>
          <w:lang w:val="es-ES"/>
        </w:rPr>
        <w:t>Boletín N°12039-07</w:t>
      </w:r>
    </w:p>
    <w:p w:rsidR="003D1103" w:rsidRDefault="00174B79">
      <w:pPr>
        <w:tabs>
          <w:tab w:val="left" w:pos="1008"/>
        </w:tabs>
        <w:spacing w:before="216" w:line="247" w:lineRule="exact"/>
        <w:ind w:left="360"/>
        <w:textAlignment w:val="baseline"/>
        <w:rPr>
          <w:rFonts w:ascii="Bookman Old Style" w:eastAsia="Bookman Old Style" w:hAnsi="Bookman Old Style"/>
          <w:b/>
          <w:color w:val="1D1D1F"/>
          <w:spacing w:val="-1"/>
          <w:lang w:val="es-ES"/>
        </w:rPr>
      </w:pPr>
      <w:r>
        <w:rPr>
          <w:rFonts w:ascii="Bookman Old Style" w:eastAsia="Bookman Old Style" w:hAnsi="Bookman Old Style"/>
          <w:b/>
          <w:color w:val="1D1D1F"/>
          <w:spacing w:val="-1"/>
          <w:lang w:val="es-ES"/>
        </w:rPr>
        <w:t>I.</w:t>
      </w:r>
      <w:r>
        <w:rPr>
          <w:rFonts w:ascii="Bookman Old Style" w:eastAsia="Bookman Old Style" w:hAnsi="Bookman Old Style"/>
          <w:b/>
          <w:color w:val="1D1D1F"/>
          <w:spacing w:val="-1"/>
          <w:lang w:val="es-ES"/>
        </w:rPr>
        <w:tab/>
        <w:t>IDEAS GENERALES.</w:t>
      </w:r>
    </w:p>
    <w:p w:rsidR="003D1103" w:rsidRDefault="00174B79">
      <w:pPr>
        <w:spacing w:before="196" w:line="513" w:lineRule="exact"/>
        <w:ind w:right="360"/>
        <w:jc w:val="both"/>
        <w:textAlignment w:val="baseline"/>
        <w:rPr>
          <w:rFonts w:ascii="Bookman Old Style" w:eastAsia="Bookman Old Style" w:hAnsi="Bookman Old Style"/>
          <w:color w:val="1D1D1F"/>
          <w:spacing w:val="1"/>
          <w:lang w:val="es-ES"/>
        </w:rPr>
      </w:pPr>
      <w:r>
        <w:rPr>
          <w:rFonts w:ascii="Bookman Old Style" w:eastAsia="Bookman Old Style" w:hAnsi="Bookman Old Style"/>
          <w:color w:val="1D1D1F"/>
          <w:spacing w:val="1"/>
          <w:lang w:val="es-ES"/>
        </w:rPr>
        <w:t xml:space="preserve">El ordenamiento jurídico chileno protege la vida a través de sus distintas fuentes normativas. En este sentido, la Constitución Política de la República contiene diversas disposiciones que refieren a esta protección, así, el artículo 5° inciso segundo, señala que: "El ejercicio de la soberanía reconoce como limitación el respeto a los derechos esenciales que emanan de la naturaleza humana. Es deber de los órganos del estado, promover y respetar tales derechos, garantizados por esta Constitución, así como por los tratados internacionales ratificados por Chile y que se encuentran </w:t>
      </w:r>
      <w:proofErr w:type="gramStart"/>
      <w:r>
        <w:rPr>
          <w:rFonts w:ascii="Bookman Old Style" w:eastAsia="Bookman Old Style" w:hAnsi="Bookman Old Style"/>
          <w:color w:val="1D1D1F"/>
          <w:spacing w:val="1"/>
          <w:lang w:val="es-ES"/>
        </w:rPr>
        <w:t>vigentes</w:t>
      </w:r>
      <w:proofErr w:type="gramEnd"/>
      <w:r>
        <w:rPr>
          <w:rFonts w:ascii="Bookman Old Style" w:eastAsia="Bookman Old Style" w:hAnsi="Bookman Old Style"/>
          <w:color w:val="1D1D1F"/>
          <w:spacing w:val="1"/>
          <w:lang w:val="es-ES"/>
        </w:rPr>
        <w:t>."</w:t>
      </w:r>
    </w:p>
    <w:p w:rsidR="003D1103" w:rsidRDefault="00174B79">
      <w:pPr>
        <w:spacing w:before="188" w:line="513" w:lineRule="exact"/>
        <w:ind w:right="360"/>
        <w:jc w:val="both"/>
        <w:textAlignment w:val="baseline"/>
        <w:rPr>
          <w:rFonts w:ascii="Bookman Old Style" w:eastAsia="Bookman Old Style" w:hAnsi="Bookman Old Style"/>
          <w:color w:val="1D1D1F"/>
          <w:lang w:val="es-ES"/>
        </w:rPr>
      </w:pPr>
      <w:r>
        <w:rPr>
          <w:rFonts w:ascii="Bookman Old Style" w:eastAsia="Bookman Old Style" w:hAnsi="Bookman Old Style"/>
          <w:color w:val="1D1D1F"/>
          <w:lang w:val="es-ES"/>
        </w:rPr>
        <w:t xml:space="preserve">Además el artículo 19 de la Constitución, asegura a todas las personas, en su numeral primero "El derecho a la vida, la integridad física y psíquica de la persona. La ley protege la vida del que está por nacer. La pena de muerte sólo podrá establecerse por delito contemplado en ley aprobada con quorum calificado. Se </w:t>
      </w:r>
      <w:proofErr w:type="spellStart"/>
      <w:r>
        <w:rPr>
          <w:rFonts w:ascii="Bookman Old Style" w:eastAsia="Bookman Old Style" w:hAnsi="Bookman Old Style"/>
          <w:color w:val="1D1D1F"/>
          <w:lang w:val="es-ES"/>
        </w:rPr>
        <w:t>prohibe</w:t>
      </w:r>
      <w:proofErr w:type="spellEnd"/>
      <w:r>
        <w:rPr>
          <w:rFonts w:ascii="Bookman Old Style" w:eastAsia="Bookman Old Style" w:hAnsi="Bookman Old Style"/>
          <w:color w:val="1D1D1F"/>
          <w:lang w:val="es-ES"/>
        </w:rPr>
        <w:t xml:space="preserve"> la aplicación de todo apremio ilegítimo."</w:t>
      </w:r>
    </w:p>
    <w:p w:rsidR="003D1103" w:rsidRDefault="00174B79">
      <w:pPr>
        <w:spacing w:before="160" w:after="2" w:line="513" w:lineRule="exact"/>
        <w:ind w:right="360"/>
        <w:jc w:val="both"/>
        <w:textAlignment w:val="baseline"/>
        <w:rPr>
          <w:rFonts w:ascii="Bookman Old Style" w:eastAsia="Bookman Old Style" w:hAnsi="Bookman Old Style"/>
          <w:color w:val="1D1D1F"/>
          <w:spacing w:val="2"/>
          <w:lang w:val="es-ES"/>
        </w:rPr>
      </w:pPr>
      <w:r>
        <w:rPr>
          <w:rFonts w:ascii="Bookman Old Style" w:eastAsia="Bookman Old Style" w:hAnsi="Bookman Old Style"/>
          <w:color w:val="1D1D1F"/>
          <w:spacing w:val="2"/>
          <w:lang w:val="es-ES"/>
        </w:rPr>
        <w:t>En esta misma línea podemos ver que el Código Penal en su libro segundo, Título octavo "De los crímenes y simples delitos contra las personas", regula una serie de hechos ilícitos constitutivos de delitos que afectan el bien jurídico de la vida, entendiendo que subyace la protección de esta, un valor supremo para la sociedad, toda vez que éste bien jurídico se encuentra en la cúspide de la pirámide.</w:t>
      </w:r>
    </w:p>
    <w:p w:rsidR="000B4894" w:rsidRDefault="000B4894">
      <w:pPr>
        <w:rPr>
          <w:rFonts w:ascii="Bookman Old Style" w:eastAsia="Bookman Old Style" w:hAnsi="Bookman Old Style"/>
          <w:color w:val="1D1D1F"/>
          <w:spacing w:val="2"/>
          <w:lang w:val="es-ES"/>
        </w:rPr>
      </w:pPr>
      <w:r>
        <w:rPr>
          <w:rFonts w:ascii="Bookman Old Style" w:eastAsia="Bookman Old Style" w:hAnsi="Bookman Old Style"/>
          <w:color w:val="1D1D1F"/>
          <w:spacing w:val="2"/>
          <w:lang w:val="es-ES"/>
        </w:rPr>
        <w:br w:type="page"/>
      </w:r>
    </w:p>
    <w:p w:rsidR="003D1103" w:rsidRDefault="00BD4E6F">
      <w:pPr>
        <w:spacing w:before="17" w:line="255" w:lineRule="exact"/>
        <w:ind w:left="576"/>
        <w:textAlignment w:val="baseline"/>
        <w:rPr>
          <w:rFonts w:ascii="Bookman Old Style" w:eastAsia="Bookman Old Style" w:hAnsi="Bookman Old Style"/>
          <w:b/>
          <w:color w:val="000000"/>
          <w:spacing w:val="22"/>
          <w:sz w:val="21"/>
          <w:lang w:val="es-ES"/>
        </w:rPr>
      </w:pPr>
      <w:r>
        <w:rPr>
          <w:rFonts w:ascii="Bookman Old Style" w:eastAsia="Bookman Old Style" w:hAnsi="Bookman Old Style"/>
          <w:b/>
          <w:color w:val="000000"/>
          <w:spacing w:val="22"/>
          <w:sz w:val="21"/>
          <w:lang w:val="es-ES"/>
        </w:rPr>
        <w:lastRenderedPageBreak/>
        <w:t>II. CONSIDERANDO</w:t>
      </w:r>
      <w:bookmarkStart w:id="0" w:name="_GoBack"/>
      <w:bookmarkEnd w:id="0"/>
      <w:r w:rsidR="00174B79">
        <w:rPr>
          <w:rFonts w:ascii="Bookman Old Style" w:eastAsia="Bookman Old Style" w:hAnsi="Bookman Old Style"/>
          <w:b/>
          <w:color w:val="000000"/>
          <w:spacing w:val="22"/>
          <w:sz w:val="21"/>
          <w:lang w:val="es-ES"/>
        </w:rPr>
        <w:t>.</w:t>
      </w:r>
    </w:p>
    <w:p w:rsidR="003D1103" w:rsidRDefault="000B4894" w:rsidP="000B4894">
      <w:pPr>
        <w:tabs>
          <w:tab w:val="left" w:pos="288"/>
          <w:tab w:val="left" w:pos="864"/>
        </w:tabs>
        <w:spacing w:line="511" w:lineRule="exact"/>
        <w:ind w:left="851" w:right="216" w:hanging="275"/>
        <w:jc w:val="both"/>
        <w:textAlignment w:val="baseline"/>
        <w:rPr>
          <w:rFonts w:ascii="Bookman Old Style" w:eastAsia="Bookman Old Style" w:hAnsi="Bookman Old Style"/>
          <w:color w:val="000000"/>
          <w:spacing w:val="6"/>
          <w:sz w:val="21"/>
          <w:lang w:val="es-ES"/>
        </w:rPr>
      </w:pPr>
      <w:r>
        <w:rPr>
          <w:rFonts w:ascii="Bookman Old Style" w:eastAsia="Bookman Old Style" w:hAnsi="Bookman Old Style"/>
          <w:color w:val="000000"/>
          <w:spacing w:val="6"/>
          <w:sz w:val="21"/>
          <w:lang w:val="es-ES"/>
        </w:rPr>
        <w:t xml:space="preserve">1. </w:t>
      </w:r>
      <w:r w:rsidR="00174B79">
        <w:rPr>
          <w:rFonts w:ascii="Bookman Old Style" w:eastAsia="Bookman Old Style" w:hAnsi="Bookman Old Style"/>
          <w:color w:val="000000"/>
          <w:spacing w:val="6"/>
          <w:sz w:val="21"/>
          <w:lang w:val="es-ES"/>
        </w:rPr>
        <w:t>Que, la Constitución Política de la República consagra el derecho a la vida, y protege la vida del que está por nacer. Determinar con exactitud el contenido de este derecho, es una labor compleja que no está exenta de dificultades y consideraciones particulares, y así lo ha reconocido la doctrinal. Por lo tanto, para efecto de determinar qué conductas están conformes con este derecho y cuáles lo quebrantan, no es suficiente recurrir sólo a la Constitución, por la sencilla razón de que esos derechos, y particularmente en lo que respecta al derecho a la vida, son solamente reconocidos por la Constitución y no creados por ellos.</w:t>
      </w:r>
    </w:p>
    <w:p w:rsidR="003D1103" w:rsidRDefault="000B4894" w:rsidP="000B4894">
      <w:pPr>
        <w:tabs>
          <w:tab w:val="left" w:pos="288"/>
          <w:tab w:val="left" w:pos="864"/>
        </w:tabs>
        <w:spacing w:line="512" w:lineRule="exact"/>
        <w:ind w:left="850" w:right="215" w:hanging="272"/>
        <w:jc w:val="both"/>
        <w:textAlignment w:val="baseline"/>
        <w:rPr>
          <w:rFonts w:ascii="Bookman Old Style" w:eastAsia="Bookman Old Style" w:hAnsi="Bookman Old Style"/>
          <w:color w:val="000000"/>
          <w:spacing w:val="5"/>
          <w:sz w:val="21"/>
          <w:lang w:val="es-ES"/>
        </w:rPr>
      </w:pPr>
      <w:r>
        <w:rPr>
          <w:rFonts w:ascii="Bookman Old Style" w:eastAsia="Bookman Old Style" w:hAnsi="Bookman Old Style"/>
          <w:color w:val="000000"/>
          <w:spacing w:val="5"/>
          <w:sz w:val="21"/>
          <w:lang w:val="es-ES"/>
        </w:rPr>
        <w:t xml:space="preserve">2. </w:t>
      </w:r>
      <w:r w:rsidR="00174B79">
        <w:rPr>
          <w:rFonts w:ascii="Bookman Old Style" w:eastAsia="Bookman Old Style" w:hAnsi="Bookman Old Style"/>
          <w:color w:val="000000"/>
          <w:spacing w:val="5"/>
          <w:sz w:val="21"/>
          <w:lang w:val="es-ES"/>
        </w:rPr>
        <w:t>Que, lo anterior implica afirmar que tal contenido ha de buscarse en la naturaleza de las cosas, esto porque los derechos Fundamentales emanan de la naturaleza humana, y el constituyente así lo ha recogido en el inciso segundo, del artículo 5° de nuestra constitución, el que señala que "El ejercicio de la soberanía reconoce como limitación el respeto de los derechos esenciales que emanan de la naturaleza humana".</w:t>
      </w:r>
    </w:p>
    <w:p w:rsidR="003D1103" w:rsidRDefault="000B4894" w:rsidP="000B4894">
      <w:pPr>
        <w:tabs>
          <w:tab w:val="left" w:pos="288"/>
          <w:tab w:val="left" w:pos="864"/>
        </w:tabs>
        <w:spacing w:before="3" w:after="1040" w:line="513" w:lineRule="exact"/>
        <w:ind w:left="851" w:right="216" w:hanging="275"/>
        <w:jc w:val="both"/>
        <w:textAlignment w:val="baseline"/>
        <w:rPr>
          <w:rFonts w:ascii="Bookman Old Style" w:eastAsia="Bookman Old Style" w:hAnsi="Bookman Old Style"/>
          <w:color w:val="000000"/>
          <w:spacing w:val="6"/>
          <w:sz w:val="21"/>
          <w:lang w:val="es-ES"/>
        </w:rPr>
      </w:pPr>
      <w:r>
        <w:rPr>
          <w:rFonts w:ascii="Bookman Old Style" w:eastAsia="Bookman Old Style" w:hAnsi="Bookman Old Style"/>
          <w:color w:val="000000"/>
          <w:spacing w:val="6"/>
          <w:sz w:val="21"/>
          <w:lang w:val="es-ES"/>
        </w:rPr>
        <w:t xml:space="preserve">3. </w:t>
      </w:r>
      <w:r w:rsidR="00174B79">
        <w:rPr>
          <w:rFonts w:ascii="Bookman Old Style" w:eastAsia="Bookman Old Style" w:hAnsi="Bookman Old Style"/>
          <w:color w:val="000000"/>
          <w:spacing w:val="6"/>
          <w:sz w:val="21"/>
          <w:lang w:val="es-ES"/>
        </w:rPr>
        <w:t>Que, en lo que dice relación con la extensión del derecho a la Vida, y desde cuándo es que se entiende protegida esta, debemos recurrir a las distintas fuentes normativas de nuestro ordenamiento jurídico. En esta línea, destaca lo dispuesto por el artículo 4° de la Convención Americana de Derechos Humanos, denominada comúnmente como Pacto San José de Costa Rica, subscrito y ratificado por Chile, que garantiza el derecho a la vida a partir de la concepción misma del ser humano</w:t>
      </w:r>
      <w:r w:rsidR="00174B79">
        <w:rPr>
          <w:rFonts w:ascii="Bookman Old Style" w:eastAsia="Bookman Old Style" w:hAnsi="Bookman Old Style"/>
          <w:color w:val="000000"/>
          <w:spacing w:val="6"/>
          <w:sz w:val="21"/>
          <w:vertAlign w:val="superscript"/>
          <w:lang w:val="es-ES"/>
        </w:rPr>
        <w:t>3</w:t>
      </w:r>
      <w:r w:rsidR="00174B79">
        <w:rPr>
          <w:rFonts w:ascii="Bookman Old Style" w:eastAsia="Bookman Old Style" w:hAnsi="Bookman Old Style"/>
          <w:color w:val="000000"/>
          <w:spacing w:val="6"/>
          <w:sz w:val="21"/>
          <w:lang w:val="es-ES"/>
        </w:rPr>
        <w:t>.</w:t>
      </w:r>
    </w:p>
    <w:p w:rsidR="003D1103" w:rsidRDefault="00BD4E6F">
      <w:pPr>
        <w:spacing w:before="134" w:line="201" w:lineRule="exact"/>
        <w:ind w:left="216" w:right="216"/>
        <w:jc w:val="both"/>
        <w:textAlignment w:val="baseline"/>
        <w:rPr>
          <w:rFonts w:ascii="Bookman Old Style" w:eastAsia="Bookman Old Style" w:hAnsi="Bookman Old Style"/>
          <w:color w:val="000000"/>
          <w:sz w:val="10"/>
          <w:vertAlign w:val="superscript"/>
          <w:lang w:val="es-ES"/>
        </w:rPr>
      </w:pPr>
      <w:r>
        <w:pict>
          <v:line id="_x0000_s1029" style="position:absolute;left:0;text-align:left;z-index:251657728;mso-position-horizontal-relative:page;mso-position-vertical-relative:page" from="100.55pt,754.2pt" to="233.1pt,754.2pt" strokeweight=".7pt">
            <w10:wrap anchorx="page" anchory="page"/>
          </v:line>
        </w:pict>
      </w:r>
      <w:r w:rsidR="00174B79">
        <w:rPr>
          <w:rFonts w:ascii="Bookman Old Style" w:eastAsia="Bookman Old Style" w:hAnsi="Bookman Old Style"/>
          <w:color w:val="000000"/>
          <w:sz w:val="10"/>
          <w:vertAlign w:val="superscript"/>
          <w:lang w:val="es-ES"/>
        </w:rPr>
        <w:t>1</w:t>
      </w:r>
      <w:r w:rsidR="00174B79">
        <w:rPr>
          <w:rFonts w:ascii="Bookman Old Style" w:eastAsia="Bookman Old Style" w:hAnsi="Bookman Old Style"/>
          <w:color w:val="000000"/>
          <w:sz w:val="17"/>
          <w:lang w:val="es-ES"/>
        </w:rPr>
        <w:t xml:space="preserve"> Ugarte Godoy, José, </w:t>
      </w:r>
      <w:r w:rsidR="00174B79">
        <w:rPr>
          <w:rFonts w:ascii="Bookman Old Style" w:eastAsia="Bookman Old Style" w:hAnsi="Bookman Old Style"/>
          <w:i/>
          <w:color w:val="000000"/>
          <w:sz w:val="17"/>
          <w:lang w:val="es-ES"/>
        </w:rPr>
        <w:t xml:space="preserve">El Derecho a la Vida y La Constitución, </w:t>
      </w:r>
      <w:r w:rsidR="00174B79">
        <w:rPr>
          <w:rFonts w:ascii="Bookman Old Style" w:eastAsia="Bookman Old Style" w:hAnsi="Bookman Old Style"/>
          <w:color w:val="000000"/>
          <w:sz w:val="17"/>
          <w:lang w:val="es-ES"/>
        </w:rPr>
        <w:t xml:space="preserve">Revista Chilena de Derecho, vol.33, N°3, </w:t>
      </w:r>
      <w:proofErr w:type="spellStart"/>
      <w:r w:rsidR="00174B79">
        <w:rPr>
          <w:rFonts w:ascii="Bookman Old Style" w:eastAsia="Bookman Old Style" w:hAnsi="Bookman Old Style"/>
          <w:color w:val="000000"/>
          <w:sz w:val="17"/>
          <w:lang w:val="es-ES"/>
        </w:rPr>
        <w:t>pp</w:t>
      </w:r>
      <w:proofErr w:type="spellEnd"/>
      <w:r w:rsidR="00174B79">
        <w:rPr>
          <w:rFonts w:ascii="Bookman Old Style" w:eastAsia="Bookman Old Style" w:hAnsi="Bookman Old Style"/>
          <w:color w:val="000000"/>
          <w:sz w:val="17"/>
          <w:lang w:val="es-ES"/>
        </w:rPr>
        <w:t xml:space="preserve"> 509-527.</w:t>
      </w:r>
    </w:p>
    <w:p w:rsidR="003D1103" w:rsidRDefault="00174B79">
      <w:pPr>
        <w:spacing w:before="28" w:line="201" w:lineRule="exact"/>
        <w:ind w:left="216" w:right="360"/>
        <w:textAlignment w:val="baseline"/>
        <w:rPr>
          <w:rFonts w:ascii="Bookman Old Style" w:eastAsia="Bookman Old Style" w:hAnsi="Bookman Old Style"/>
          <w:color w:val="000000"/>
          <w:sz w:val="10"/>
          <w:vertAlign w:val="superscript"/>
          <w:lang w:val="es-ES"/>
        </w:rPr>
      </w:pPr>
      <w:r>
        <w:rPr>
          <w:rFonts w:ascii="Bookman Old Style" w:eastAsia="Bookman Old Style" w:hAnsi="Bookman Old Style"/>
          <w:color w:val="000000"/>
          <w:sz w:val="10"/>
          <w:vertAlign w:val="superscript"/>
          <w:lang w:val="es-ES"/>
        </w:rPr>
        <w:t>2</w:t>
      </w:r>
      <w:r>
        <w:rPr>
          <w:rFonts w:ascii="Bookman Old Style" w:eastAsia="Bookman Old Style" w:hAnsi="Bookman Old Style"/>
          <w:color w:val="000000"/>
          <w:sz w:val="17"/>
          <w:lang w:val="es-ES"/>
        </w:rPr>
        <w:t xml:space="preserve"> Ugarte Godoy, José, </w:t>
      </w:r>
      <w:r>
        <w:rPr>
          <w:rFonts w:ascii="Bookman Old Style" w:eastAsia="Bookman Old Style" w:hAnsi="Bookman Old Style"/>
          <w:i/>
          <w:color w:val="000000"/>
          <w:sz w:val="17"/>
          <w:lang w:val="es-ES"/>
        </w:rPr>
        <w:t xml:space="preserve">El Derecho a la Vida y La Constitución, </w:t>
      </w:r>
      <w:r>
        <w:rPr>
          <w:rFonts w:ascii="Bookman Old Style" w:eastAsia="Bookman Old Style" w:hAnsi="Bookman Old Style"/>
          <w:color w:val="000000"/>
          <w:sz w:val="17"/>
          <w:lang w:val="es-ES"/>
        </w:rPr>
        <w:t xml:space="preserve">Revista Chilena de Derecho, vol.33, N°3, </w:t>
      </w:r>
      <w:proofErr w:type="spellStart"/>
      <w:r>
        <w:rPr>
          <w:rFonts w:ascii="Bookman Old Style" w:eastAsia="Bookman Old Style" w:hAnsi="Bookman Old Style"/>
          <w:color w:val="000000"/>
          <w:sz w:val="17"/>
          <w:lang w:val="es-ES"/>
        </w:rPr>
        <w:t>pp</w:t>
      </w:r>
      <w:proofErr w:type="spellEnd"/>
      <w:r>
        <w:rPr>
          <w:rFonts w:ascii="Bookman Old Style" w:eastAsia="Bookman Old Style" w:hAnsi="Bookman Old Style"/>
          <w:color w:val="000000"/>
          <w:sz w:val="17"/>
          <w:lang w:val="es-ES"/>
        </w:rPr>
        <w:t xml:space="preserve"> 509-527.</w:t>
      </w:r>
    </w:p>
    <w:p w:rsidR="000B4894" w:rsidRDefault="00174B79" w:rsidP="000B4894">
      <w:pPr>
        <w:spacing w:before="10" w:line="209" w:lineRule="exact"/>
        <w:ind w:left="216" w:right="216"/>
        <w:jc w:val="both"/>
        <w:textAlignment w:val="baseline"/>
        <w:rPr>
          <w:rFonts w:ascii="Bookman Old Style" w:eastAsia="Bookman Old Style" w:hAnsi="Bookman Old Style"/>
          <w:color w:val="000000"/>
          <w:spacing w:val="7"/>
          <w:sz w:val="17"/>
          <w:lang w:val="es-ES"/>
        </w:rPr>
      </w:pPr>
      <w:r>
        <w:rPr>
          <w:rFonts w:ascii="Bookman Old Style" w:eastAsia="Bookman Old Style" w:hAnsi="Bookman Old Style"/>
          <w:color w:val="000000"/>
          <w:spacing w:val="7"/>
          <w:sz w:val="10"/>
          <w:vertAlign w:val="superscript"/>
          <w:lang w:val="es-ES"/>
        </w:rPr>
        <w:t>3</w:t>
      </w:r>
      <w:r>
        <w:rPr>
          <w:rFonts w:ascii="Bookman Old Style" w:eastAsia="Bookman Old Style" w:hAnsi="Bookman Old Style"/>
          <w:color w:val="000000"/>
          <w:spacing w:val="7"/>
          <w:sz w:val="17"/>
          <w:lang w:val="es-ES"/>
        </w:rPr>
        <w:t xml:space="preserve"> Artículo 4. Derecho a la Vida N° 1. Toda persona tiene derecho a que se respete su vida. Este derecho estará protegido por la ley y, en general, a partir del momento de la concepción. Nadie puede ser privado de la vida arbitrariamente.</w:t>
      </w:r>
    </w:p>
    <w:p w:rsidR="000B4894" w:rsidRDefault="000B4894" w:rsidP="000B4894">
      <w:pPr>
        <w:spacing w:before="10" w:line="209" w:lineRule="exact"/>
        <w:ind w:left="216" w:right="216"/>
        <w:jc w:val="both"/>
        <w:textAlignment w:val="baseline"/>
        <w:rPr>
          <w:rFonts w:ascii="Bookman Old Style" w:eastAsia="Bookman Old Style" w:hAnsi="Bookman Old Style"/>
          <w:color w:val="000000"/>
          <w:spacing w:val="7"/>
          <w:sz w:val="17"/>
          <w:lang w:val="es-ES"/>
        </w:rPr>
      </w:pPr>
    </w:p>
    <w:p w:rsidR="000B4894" w:rsidRDefault="000B4894" w:rsidP="000B4894">
      <w:pPr>
        <w:spacing w:before="10" w:line="209" w:lineRule="exact"/>
        <w:ind w:left="216" w:right="216"/>
        <w:jc w:val="both"/>
        <w:textAlignment w:val="baseline"/>
        <w:rPr>
          <w:rFonts w:ascii="Bookman Old Style" w:eastAsia="Bookman Old Style" w:hAnsi="Bookman Old Style"/>
          <w:color w:val="000000"/>
          <w:spacing w:val="7"/>
          <w:sz w:val="17"/>
          <w:lang w:val="es-ES"/>
        </w:rPr>
      </w:pPr>
    </w:p>
    <w:p w:rsidR="000B4894" w:rsidRDefault="000B4894" w:rsidP="000B4894">
      <w:pPr>
        <w:spacing w:line="509" w:lineRule="exact"/>
        <w:ind w:left="864" w:right="216"/>
        <w:textAlignment w:val="baseline"/>
        <w:rPr>
          <w:rFonts w:ascii="Bookman Old Style" w:eastAsia="Bookman Old Style" w:hAnsi="Bookman Old Style"/>
          <w:color w:val="000000"/>
          <w:sz w:val="21"/>
          <w:lang w:val="es-ES"/>
        </w:rPr>
      </w:pPr>
    </w:p>
    <w:p w:rsidR="000B4894" w:rsidRDefault="00BD4E6F" w:rsidP="000B4894">
      <w:pPr>
        <w:tabs>
          <w:tab w:val="left" w:pos="288"/>
          <w:tab w:val="left" w:pos="864"/>
        </w:tabs>
        <w:spacing w:line="513" w:lineRule="exact"/>
        <w:ind w:left="850" w:right="215" w:hanging="272"/>
        <w:jc w:val="both"/>
        <w:textAlignment w:val="baseline"/>
        <w:rPr>
          <w:rFonts w:ascii="Bookman Old Style" w:eastAsia="Bookman Old Style" w:hAnsi="Bookman Old Style"/>
          <w:color w:val="000000"/>
          <w:spacing w:val="5"/>
          <w:sz w:val="21"/>
          <w:lang w:val="es-ES"/>
        </w:rPr>
      </w:pPr>
      <w:r>
        <w:rPr>
          <w:rFonts w:ascii="Bookman Old Style" w:eastAsia="Bookman Old Style" w:hAnsi="Bookman Old Style"/>
          <w:color w:val="000000"/>
          <w:sz w:val="21"/>
          <w:lang w:val="es-ES"/>
        </w:rPr>
        <w:pict>
          <v:shapetype id="_x0000_t202" coordsize="21600,21600" o:spt="202" path="m,l,21600r21600,l21600,xe">
            <v:stroke joinstyle="miter"/>
            <v:path gradientshapeok="t" o:connecttype="rect"/>
          </v:shapetype>
          <v:shape id="_x0000_s1028" type="#_x0000_t202" style="position:absolute;left:0;text-align:left;margin-left:92.35pt;margin-top:825.8pt;width:419.1pt;height:21.3pt;z-index:-251659776;mso-wrap-distance-left:0;mso-wrap-distance-right:0;mso-position-horizontal-relative:page;mso-position-vertical-relative:page" filled="f" stroked="f">
            <v:textbox style="mso-next-textbox:#_x0000_s1028" inset="0,0,0,0">
              <w:txbxContent>
                <w:p w:rsidR="003D1103" w:rsidRDefault="00174B79">
                  <w:pPr>
                    <w:spacing w:line="209" w:lineRule="exact"/>
                    <w:ind w:left="216"/>
                    <w:textAlignment w:val="baseline"/>
                    <w:rPr>
                      <w:rFonts w:ascii="Bookman Old Style" w:eastAsia="Bookman Old Style" w:hAnsi="Bookman Old Style"/>
                      <w:color w:val="000000"/>
                      <w:sz w:val="11"/>
                      <w:vertAlign w:val="superscript"/>
                      <w:lang w:val="es-ES"/>
                    </w:rPr>
                  </w:pPr>
                  <w:r>
                    <w:rPr>
                      <w:rFonts w:ascii="Bookman Old Style" w:eastAsia="Bookman Old Style" w:hAnsi="Bookman Old Style"/>
                      <w:color w:val="000000"/>
                      <w:sz w:val="11"/>
                      <w:vertAlign w:val="superscript"/>
                      <w:lang w:val="es-ES"/>
                    </w:rPr>
                    <w:t>4</w:t>
                  </w:r>
                  <w:r>
                    <w:rPr>
                      <w:rFonts w:ascii="Bookman Old Style" w:eastAsia="Bookman Old Style" w:hAnsi="Bookman Old Style"/>
                      <w:color w:val="000000"/>
                      <w:sz w:val="17"/>
                      <w:lang w:val="es-ES"/>
                    </w:rPr>
                    <w:t xml:space="preserve">Aldunate Lizama, Eduardo; </w:t>
                  </w:r>
                  <w:r>
                    <w:rPr>
                      <w:rFonts w:ascii="Bookman Old Style" w:eastAsia="Bookman Old Style" w:hAnsi="Bookman Old Style"/>
                      <w:i/>
                      <w:color w:val="000000"/>
                      <w:sz w:val="17"/>
                      <w:lang w:val="es-ES"/>
                    </w:rPr>
                    <w:t xml:space="preserve">La Colisión de Derechos Fundamentales, </w:t>
                  </w:r>
                  <w:r>
                    <w:rPr>
                      <w:rFonts w:ascii="Bookman Old Style" w:eastAsia="Bookman Old Style" w:hAnsi="Bookman Old Style"/>
                      <w:color w:val="000000"/>
                      <w:sz w:val="17"/>
                      <w:lang w:val="es-ES"/>
                    </w:rPr>
                    <w:t>Revista de Derecho y Humanidades N°11, Santiago, 2005, pp. 69-78.</w:t>
                  </w:r>
                </w:p>
              </w:txbxContent>
            </v:textbox>
            <w10:wrap type="square" anchorx="page" anchory="page"/>
          </v:shape>
        </w:pict>
      </w:r>
      <w:r w:rsidR="000B4894">
        <w:rPr>
          <w:rFonts w:ascii="Bookman Old Style" w:eastAsia="Bookman Old Style" w:hAnsi="Bookman Old Style"/>
          <w:color w:val="000000"/>
          <w:sz w:val="21"/>
          <w:lang w:val="es-ES"/>
        </w:rPr>
        <w:t>4</w:t>
      </w:r>
      <w:r w:rsidR="000B4894" w:rsidRPr="000B4894">
        <w:rPr>
          <w:rFonts w:ascii="Bookman Old Style" w:eastAsia="Bookman Old Style" w:hAnsi="Bookman Old Style"/>
          <w:color w:val="000000"/>
          <w:spacing w:val="5"/>
          <w:sz w:val="21"/>
          <w:lang w:val="es-ES"/>
        </w:rPr>
        <w:t xml:space="preserve">. </w:t>
      </w:r>
      <w:r w:rsidR="00174B79" w:rsidRPr="000B4894">
        <w:rPr>
          <w:rFonts w:ascii="Bookman Old Style" w:eastAsia="Bookman Old Style" w:hAnsi="Bookman Old Style"/>
          <w:color w:val="000000"/>
          <w:spacing w:val="5"/>
          <w:sz w:val="21"/>
          <w:lang w:val="es-ES"/>
        </w:rPr>
        <w:t>Que, además, debe tenerse presente que el Derecho a la Vida es de carácter indisponible, cuestión que ha sido reconocido por el constitucionalismo clásico.</w:t>
      </w:r>
    </w:p>
    <w:p w:rsidR="00174B79" w:rsidRDefault="000B4894" w:rsidP="00174B79">
      <w:pPr>
        <w:tabs>
          <w:tab w:val="left" w:pos="288"/>
          <w:tab w:val="left" w:pos="864"/>
        </w:tabs>
        <w:spacing w:line="513" w:lineRule="exact"/>
        <w:ind w:left="850" w:right="215" w:hanging="272"/>
        <w:jc w:val="both"/>
        <w:textAlignment w:val="baseline"/>
        <w:rPr>
          <w:rFonts w:ascii="Bookman Old Style" w:eastAsia="Bookman Old Style" w:hAnsi="Bookman Old Style"/>
          <w:color w:val="000000"/>
          <w:spacing w:val="5"/>
          <w:sz w:val="21"/>
          <w:lang w:val="es-ES"/>
        </w:rPr>
      </w:pPr>
      <w:r>
        <w:rPr>
          <w:rFonts w:ascii="Bookman Old Style" w:eastAsia="Bookman Old Style" w:hAnsi="Bookman Old Style"/>
          <w:color w:val="000000"/>
          <w:spacing w:val="9"/>
          <w:sz w:val="21"/>
          <w:lang w:val="es-ES"/>
        </w:rPr>
        <w:t>5</w:t>
      </w:r>
      <w:r>
        <w:rPr>
          <w:rFonts w:ascii="Bookman Old Style" w:eastAsia="Bookman Old Style" w:hAnsi="Bookman Old Style"/>
          <w:color w:val="000000"/>
          <w:spacing w:val="5"/>
          <w:sz w:val="21"/>
          <w:lang w:val="es-ES"/>
        </w:rPr>
        <w:t xml:space="preserve">. </w:t>
      </w:r>
      <w:r w:rsidR="00174B79" w:rsidRPr="000B4894">
        <w:rPr>
          <w:rFonts w:ascii="Bookman Old Style" w:eastAsia="Bookman Old Style" w:hAnsi="Bookman Old Style"/>
          <w:color w:val="000000"/>
          <w:spacing w:val="5"/>
          <w:sz w:val="21"/>
          <w:lang w:val="es-ES"/>
        </w:rPr>
        <w:t>Que, a pesar de lo anteriormente expuesto, suele argumentarse en</w:t>
      </w:r>
      <w:r w:rsidRPr="000B4894">
        <w:rPr>
          <w:rFonts w:ascii="Bookman Old Style" w:eastAsia="Bookman Old Style" w:hAnsi="Bookman Old Style"/>
          <w:color w:val="000000"/>
          <w:spacing w:val="5"/>
          <w:sz w:val="21"/>
          <w:lang w:val="es-ES"/>
        </w:rPr>
        <w:t xml:space="preserve"> </w:t>
      </w:r>
      <w:r w:rsidR="00174B79" w:rsidRPr="000B4894">
        <w:rPr>
          <w:rFonts w:ascii="Bookman Old Style" w:eastAsia="Bookman Old Style" w:hAnsi="Bookman Old Style"/>
          <w:color w:val="000000"/>
          <w:spacing w:val="5"/>
          <w:sz w:val="21"/>
          <w:lang w:val="es-ES"/>
        </w:rPr>
        <w:t>contra a la protección de este derecho, que existen otros derechos fundamentales asociados a la libertad de la madre y a la posibilidad</w:t>
      </w:r>
      <w:r w:rsidRPr="000B4894">
        <w:rPr>
          <w:rFonts w:ascii="Bookman Old Style" w:eastAsia="Bookman Old Style" w:hAnsi="Bookman Old Style"/>
          <w:color w:val="000000"/>
          <w:spacing w:val="5"/>
          <w:sz w:val="21"/>
          <w:lang w:val="es-ES"/>
        </w:rPr>
        <w:t xml:space="preserve"> </w:t>
      </w:r>
      <w:r w:rsidR="00174B79" w:rsidRPr="000B4894">
        <w:rPr>
          <w:rFonts w:ascii="Bookman Old Style" w:eastAsia="Bookman Old Style" w:hAnsi="Bookman Old Style"/>
          <w:color w:val="000000"/>
          <w:spacing w:val="5"/>
          <w:sz w:val="21"/>
          <w:lang w:val="es-ES"/>
        </w:rPr>
        <w:t>de decidir sobre su cuerpo, que permitirían suspender un embarazo, y por consiguiente, afectar la protección a la vida desde la concepción.</w:t>
      </w:r>
    </w:p>
    <w:p w:rsidR="00174B79" w:rsidRDefault="00174B79" w:rsidP="00174B79">
      <w:pPr>
        <w:tabs>
          <w:tab w:val="left" w:pos="288"/>
          <w:tab w:val="left" w:pos="864"/>
        </w:tabs>
        <w:spacing w:line="513" w:lineRule="exact"/>
        <w:ind w:left="850" w:right="215" w:firstLine="1"/>
        <w:jc w:val="both"/>
        <w:textAlignment w:val="baseline"/>
        <w:rPr>
          <w:rFonts w:ascii="Bookman Old Style" w:eastAsia="Bookman Old Style" w:hAnsi="Bookman Old Style"/>
          <w:color w:val="000000"/>
          <w:sz w:val="21"/>
          <w:lang w:val="es-ES"/>
        </w:rPr>
      </w:pPr>
      <w:r>
        <w:rPr>
          <w:rFonts w:ascii="Bookman Old Style" w:eastAsia="Bookman Old Style" w:hAnsi="Bookman Old Style"/>
          <w:color w:val="000000"/>
          <w:sz w:val="21"/>
          <w:lang w:val="es-ES"/>
        </w:rPr>
        <w:t>Que, en este caso, estamos en presencia de un supuesto de colisión de derechos fundamentales, la cual debe ser zanjada a través de los</w:t>
      </w:r>
      <w:r w:rsidR="000B4894">
        <w:rPr>
          <w:rFonts w:ascii="Bookman Old Style" w:eastAsia="Bookman Old Style" w:hAnsi="Bookman Old Style"/>
          <w:color w:val="000000"/>
          <w:sz w:val="21"/>
          <w:lang w:val="es-ES"/>
        </w:rPr>
        <w:t xml:space="preserve"> </w:t>
      </w:r>
      <w:r w:rsidRPr="000B4894">
        <w:rPr>
          <w:rFonts w:ascii="Bookman Old Style" w:eastAsia="Bookman Old Style" w:hAnsi="Bookman Old Style"/>
          <w:color w:val="000000"/>
          <w:sz w:val="21"/>
          <w:lang w:val="es-ES"/>
        </w:rPr>
        <w:t>mecanismos idóneos, es decir recurriendo al orden</w:t>
      </w:r>
      <w:r w:rsidR="000B4894">
        <w:rPr>
          <w:rFonts w:ascii="Bookman Old Style" w:eastAsia="Bookman Old Style" w:hAnsi="Bookman Old Style"/>
          <w:color w:val="000000"/>
          <w:sz w:val="21"/>
          <w:lang w:val="es-ES"/>
        </w:rPr>
        <w:t xml:space="preserve"> </w:t>
      </w:r>
      <w:proofErr w:type="spellStart"/>
      <w:r>
        <w:rPr>
          <w:rFonts w:ascii="Bookman Old Style" w:eastAsia="Bookman Old Style" w:hAnsi="Bookman Old Style"/>
          <w:color w:val="000000"/>
          <w:sz w:val="21"/>
          <w:lang w:val="es-ES"/>
        </w:rPr>
        <w:t>infraconstitucional</w:t>
      </w:r>
      <w:proofErr w:type="spellEnd"/>
      <w:r>
        <w:rPr>
          <w:rFonts w:ascii="Bookman Old Style" w:eastAsia="Bookman Old Style" w:hAnsi="Bookman Old Style"/>
          <w:color w:val="000000"/>
          <w:sz w:val="21"/>
          <w:lang w:val="es-ES"/>
        </w:rPr>
        <w:t>. Esto, porque al ser dos derechos de rango constitucional, la solución a la colisión no puede ser encontrada en</w:t>
      </w:r>
      <w:r w:rsidR="000B4894">
        <w:rPr>
          <w:rFonts w:ascii="Bookman Old Style" w:eastAsia="Bookman Old Style" w:hAnsi="Bookman Old Style"/>
          <w:color w:val="000000"/>
          <w:sz w:val="21"/>
          <w:lang w:val="es-ES"/>
        </w:rPr>
        <w:t xml:space="preserve"> </w:t>
      </w:r>
      <w:r>
        <w:rPr>
          <w:rFonts w:ascii="Bookman Old Style" w:eastAsia="Bookman Old Style" w:hAnsi="Bookman Old Style"/>
          <w:color w:val="000000"/>
          <w:sz w:val="21"/>
          <w:lang w:val="es-ES"/>
        </w:rPr>
        <w:t>la Constitución, puesto que de lo contrario, se estaría creando una nueva situación jurídica, lo que se conoce en la doctrina como un acto de adjudicación</w:t>
      </w:r>
      <w:r w:rsidRPr="00174B79">
        <w:rPr>
          <w:rFonts w:ascii="Bookman Old Style" w:eastAsia="Bookman Old Style" w:hAnsi="Bookman Old Style"/>
          <w:color w:val="000000"/>
          <w:sz w:val="21"/>
          <w:vertAlign w:val="superscript"/>
          <w:lang w:val="es-ES"/>
        </w:rPr>
        <w:t>4</w:t>
      </w:r>
      <w:r>
        <w:rPr>
          <w:rFonts w:ascii="Bookman Old Style" w:eastAsia="Bookman Old Style" w:hAnsi="Bookman Old Style"/>
          <w:color w:val="000000"/>
          <w:sz w:val="21"/>
          <w:lang w:val="es-ES"/>
        </w:rPr>
        <w:t>.</w:t>
      </w:r>
    </w:p>
    <w:p w:rsidR="00174B79" w:rsidRDefault="00174B79" w:rsidP="00174B79">
      <w:pPr>
        <w:tabs>
          <w:tab w:val="left" w:pos="288"/>
          <w:tab w:val="left" w:pos="864"/>
        </w:tabs>
        <w:spacing w:line="513" w:lineRule="exact"/>
        <w:ind w:left="850" w:right="215" w:hanging="283"/>
        <w:jc w:val="both"/>
        <w:textAlignment w:val="baseline"/>
        <w:rPr>
          <w:rFonts w:ascii="Bookman Old Style" w:eastAsia="Bookman Old Style" w:hAnsi="Bookman Old Style"/>
          <w:color w:val="000000"/>
          <w:spacing w:val="7"/>
          <w:sz w:val="21"/>
          <w:lang w:val="es-ES"/>
        </w:rPr>
      </w:pPr>
      <w:r>
        <w:rPr>
          <w:rFonts w:ascii="Bookman Old Style" w:eastAsia="Bookman Old Style" w:hAnsi="Bookman Old Style"/>
          <w:color w:val="000000"/>
          <w:sz w:val="21"/>
          <w:lang w:val="es-ES"/>
        </w:rPr>
        <w:t xml:space="preserve">6. </w:t>
      </w:r>
      <w:r w:rsidRPr="000B4894">
        <w:rPr>
          <w:rFonts w:ascii="Bookman Old Style" w:eastAsia="Bookman Old Style" w:hAnsi="Bookman Old Style"/>
          <w:color w:val="000000"/>
          <w:spacing w:val="10"/>
          <w:sz w:val="21"/>
          <w:lang w:val="es-ES"/>
        </w:rPr>
        <w:t xml:space="preserve">Que, al mirar el orden </w:t>
      </w:r>
      <w:proofErr w:type="spellStart"/>
      <w:r w:rsidRPr="000B4894">
        <w:rPr>
          <w:rFonts w:ascii="Bookman Old Style" w:eastAsia="Bookman Old Style" w:hAnsi="Bookman Old Style"/>
          <w:color w:val="000000"/>
          <w:spacing w:val="10"/>
          <w:sz w:val="21"/>
          <w:lang w:val="es-ES"/>
        </w:rPr>
        <w:t>infraconstitucional</w:t>
      </w:r>
      <w:proofErr w:type="spellEnd"/>
      <w:r w:rsidRPr="000B4894">
        <w:rPr>
          <w:rFonts w:ascii="Bookman Old Style" w:eastAsia="Bookman Old Style" w:hAnsi="Bookman Old Style"/>
          <w:color w:val="000000"/>
          <w:spacing w:val="10"/>
          <w:sz w:val="21"/>
          <w:lang w:val="es-ES"/>
        </w:rPr>
        <w:t xml:space="preserve"> es menester hacer mención a la regulación Penal, donde el legislador ha considerado</w:t>
      </w:r>
      <w:r w:rsidR="000B4894">
        <w:rPr>
          <w:rFonts w:ascii="Bookman Old Style" w:eastAsia="Bookman Old Style" w:hAnsi="Bookman Old Style"/>
          <w:color w:val="000000"/>
          <w:spacing w:val="10"/>
          <w:sz w:val="21"/>
          <w:lang w:val="es-ES"/>
        </w:rPr>
        <w:t xml:space="preserve"> </w:t>
      </w:r>
      <w:r w:rsidRPr="000B4894">
        <w:rPr>
          <w:rFonts w:ascii="Bookman Old Style" w:eastAsia="Bookman Old Style" w:hAnsi="Bookman Old Style"/>
          <w:color w:val="000000"/>
          <w:spacing w:val="7"/>
          <w:sz w:val="21"/>
          <w:lang w:val="es-ES"/>
        </w:rPr>
        <w:t>como hechos constitutivos de delitos aquellos actos que sean contrarios a la vida, desde la concepción, tipificando el delito de aborto, e incluso hasta la muerte natural de la persona. Por lo tanto, es en esta regulación donde encontramos la respuesta ante la colisión de derechos fundamentales.</w:t>
      </w:r>
    </w:p>
    <w:p w:rsidR="003D1103" w:rsidRDefault="00174B79" w:rsidP="00174B79">
      <w:pPr>
        <w:tabs>
          <w:tab w:val="left" w:pos="288"/>
          <w:tab w:val="left" w:pos="864"/>
        </w:tabs>
        <w:spacing w:line="513" w:lineRule="exact"/>
        <w:ind w:left="850" w:right="215" w:hanging="283"/>
        <w:jc w:val="both"/>
        <w:textAlignment w:val="baseline"/>
        <w:sectPr w:rsidR="003D1103">
          <w:pgSz w:w="12144" w:h="18221"/>
          <w:pgMar w:top="960" w:right="1689" w:bottom="1309" w:left="1847" w:header="720" w:footer="720" w:gutter="0"/>
          <w:cols w:space="720"/>
        </w:sectPr>
      </w:pPr>
      <w:r>
        <w:rPr>
          <w:rFonts w:ascii="Bookman Old Style" w:eastAsia="Bookman Old Style" w:hAnsi="Bookman Old Style"/>
          <w:color w:val="000000"/>
          <w:spacing w:val="7"/>
          <w:sz w:val="21"/>
          <w:lang w:val="es-ES"/>
        </w:rPr>
        <w:t xml:space="preserve">7. </w:t>
      </w:r>
      <w:r>
        <w:rPr>
          <w:rFonts w:ascii="Bookman Old Style" w:eastAsia="Bookman Old Style" w:hAnsi="Bookman Old Style"/>
          <w:color w:val="000000"/>
          <w:sz w:val="21"/>
          <w:lang w:val="es-ES"/>
        </w:rPr>
        <w:t xml:space="preserve">Que, por lo tanto, los diputados abajo suscribientes creemos que la </w:t>
      </w:r>
      <w:proofErr w:type="gramStart"/>
      <w:r>
        <w:rPr>
          <w:rFonts w:ascii="Bookman Old Style" w:eastAsia="Bookman Old Style" w:hAnsi="Bookman Old Style"/>
          <w:color w:val="000000"/>
          <w:sz w:val="21"/>
          <w:lang w:val="es-ES"/>
        </w:rPr>
        <w:t>protección  de</w:t>
      </w:r>
      <w:proofErr w:type="gramEnd"/>
      <w:r>
        <w:rPr>
          <w:rFonts w:ascii="Bookman Old Style" w:eastAsia="Bookman Old Style" w:hAnsi="Bookman Old Style"/>
          <w:color w:val="000000"/>
          <w:sz w:val="21"/>
          <w:lang w:val="es-ES"/>
        </w:rPr>
        <w:t xml:space="preserve"> la vida principia con la concepción y termina con la</w:t>
      </w:r>
      <w:r w:rsidR="00BD4E6F">
        <w:pict>
          <v:line id="_x0000_s1027" style="position:absolute;left:0;text-align:left;z-index:251658752;mso-position-horizontal-relative:page;mso-position-vertical-relative:page" from="103.2pt,820.3pt" to="235.5pt,820.3pt" strokeweight=".7pt">
            <w10:wrap anchorx="page" anchory="page"/>
          </v:line>
        </w:pict>
      </w:r>
      <w:r>
        <w:rPr>
          <w:rFonts w:ascii="Bookman Old Style" w:eastAsia="Bookman Old Style" w:hAnsi="Bookman Old Style"/>
          <w:color w:val="000000"/>
          <w:sz w:val="21"/>
          <w:lang w:val="es-ES"/>
        </w:rPr>
        <w:t xml:space="preserve"> muerte natural de la persona,  y que esta ha sido la extensión del derecho que ha considerado nuestro constituyente. Así, este</w:t>
      </w:r>
    </w:p>
    <w:p w:rsidR="003D1103" w:rsidRDefault="00174B79">
      <w:pPr>
        <w:spacing w:line="506" w:lineRule="exact"/>
        <w:ind w:left="2520" w:right="504"/>
        <w:textAlignment w:val="baseline"/>
        <w:rPr>
          <w:rFonts w:ascii="Bookman Old Style" w:eastAsia="Bookman Old Style" w:hAnsi="Bookman Old Style"/>
          <w:color w:val="000000"/>
          <w:sz w:val="21"/>
          <w:lang w:val="es-ES"/>
        </w:rPr>
      </w:pPr>
      <w:proofErr w:type="gramStart"/>
      <w:r>
        <w:rPr>
          <w:rFonts w:ascii="Bookman Old Style" w:eastAsia="Bookman Old Style" w:hAnsi="Bookman Old Style"/>
          <w:color w:val="000000"/>
          <w:sz w:val="21"/>
          <w:lang w:val="es-ES"/>
        </w:rPr>
        <w:lastRenderedPageBreak/>
        <w:t>proyecto</w:t>
      </w:r>
      <w:proofErr w:type="gramEnd"/>
      <w:r>
        <w:rPr>
          <w:rFonts w:ascii="Bookman Old Style" w:eastAsia="Bookman Old Style" w:hAnsi="Bookman Old Style"/>
          <w:color w:val="000000"/>
          <w:sz w:val="21"/>
          <w:lang w:val="es-ES"/>
        </w:rPr>
        <w:t xml:space="preserve"> busca reforzar y esclarecer la misma, haciendo expresa la protección de la vida del que está por nacer desde la concepción.</w:t>
      </w:r>
    </w:p>
    <w:p w:rsidR="003D1103" w:rsidRDefault="00174B79">
      <w:pPr>
        <w:spacing w:before="1138" w:line="255" w:lineRule="exact"/>
        <w:ind w:left="2232"/>
        <w:textAlignment w:val="baseline"/>
        <w:rPr>
          <w:rFonts w:ascii="Bookman Old Style" w:eastAsia="Bookman Old Style" w:hAnsi="Bookman Old Style"/>
          <w:b/>
          <w:color w:val="000000"/>
          <w:spacing w:val="13"/>
          <w:sz w:val="21"/>
          <w:lang w:val="es-ES"/>
        </w:rPr>
      </w:pPr>
      <w:r>
        <w:rPr>
          <w:rFonts w:ascii="Bookman Old Style" w:eastAsia="Bookman Old Style" w:hAnsi="Bookman Old Style"/>
          <w:b/>
          <w:color w:val="000000"/>
          <w:spacing w:val="13"/>
          <w:sz w:val="21"/>
          <w:lang w:val="es-ES"/>
        </w:rPr>
        <w:t>III. CONTENIDO DEL PROYECTO DE LEY.</w:t>
      </w:r>
    </w:p>
    <w:p w:rsidR="003D1103" w:rsidRDefault="00174B79">
      <w:pPr>
        <w:spacing w:before="184" w:line="511" w:lineRule="exact"/>
        <w:ind w:left="1872" w:right="504"/>
        <w:jc w:val="both"/>
        <w:textAlignment w:val="baseline"/>
        <w:rPr>
          <w:rFonts w:ascii="Bookman Old Style" w:eastAsia="Bookman Old Style" w:hAnsi="Bookman Old Style"/>
          <w:color w:val="000000"/>
          <w:spacing w:val="8"/>
          <w:sz w:val="21"/>
          <w:lang w:val="es-ES"/>
        </w:rPr>
      </w:pPr>
      <w:r>
        <w:rPr>
          <w:rFonts w:ascii="Bookman Old Style" w:eastAsia="Bookman Old Style" w:hAnsi="Bookman Old Style"/>
          <w:color w:val="000000"/>
          <w:spacing w:val="8"/>
          <w:sz w:val="21"/>
          <w:lang w:val="es-ES"/>
        </w:rPr>
        <w:t>El presente proyecto de reforma constitucional busca agregar reconocimiento expreso a la protección de la vida del que está por nacer desde el momento de la concepción, fortaleciendo de esta forma, la garantía constitucional del derecho a la vida, como la indisponibilidad del mismo.</w:t>
      </w:r>
    </w:p>
    <w:p w:rsidR="003D1103" w:rsidRDefault="00174B79">
      <w:pPr>
        <w:spacing w:before="448" w:line="255" w:lineRule="exact"/>
        <w:ind w:left="2232"/>
        <w:textAlignment w:val="baseline"/>
        <w:rPr>
          <w:rFonts w:ascii="Bookman Old Style" w:eastAsia="Bookman Old Style" w:hAnsi="Bookman Old Style"/>
          <w:b/>
          <w:color w:val="000000"/>
          <w:spacing w:val="21"/>
          <w:sz w:val="21"/>
          <w:lang w:val="es-ES"/>
        </w:rPr>
      </w:pPr>
      <w:r>
        <w:rPr>
          <w:rFonts w:ascii="Bookman Old Style" w:eastAsia="Bookman Old Style" w:hAnsi="Bookman Old Style"/>
          <w:b/>
          <w:color w:val="000000"/>
          <w:spacing w:val="21"/>
          <w:sz w:val="21"/>
          <w:lang w:val="es-ES"/>
        </w:rPr>
        <w:t>IV. PROYECTO DE LEY.</w:t>
      </w:r>
    </w:p>
    <w:p w:rsidR="003D1103" w:rsidRDefault="00174B79">
      <w:pPr>
        <w:spacing w:before="183" w:line="511" w:lineRule="exact"/>
        <w:ind w:left="1872" w:right="504"/>
        <w:jc w:val="both"/>
        <w:textAlignment w:val="baseline"/>
        <w:rPr>
          <w:rFonts w:ascii="Bookman Old Style" w:eastAsia="Bookman Old Style" w:hAnsi="Bookman Old Style"/>
          <w:color w:val="000000"/>
          <w:spacing w:val="4"/>
          <w:sz w:val="21"/>
          <w:lang w:val="es-ES"/>
        </w:rPr>
      </w:pPr>
      <w:r>
        <w:rPr>
          <w:rFonts w:ascii="Bookman Old Style" w:eastAsia="Bookman Old Style" w:hAnsi="Bookman Old Style"/>
          <w:color w:val="000000"/>
          <w:spacing w:val="4"/>
          <w:sz w:val="21"/>
          <w:lang w:val="es-ES"/>
        </w:rPr>
        <w:t>Artículo único: Modifíquese el inciso segundo, del numeral 1°, del artículo 19 de la Constitución Política de la República, de conformidad al siguiente texto:</w:t>
      </w:r>
    </w:p>
    <w:p w:rsidR="003D1103" w:rsidRDefault="00174B79">
      <w:pPr>
        <w:spacing w:before="193" w:after="431" w:line="511" w:lineRule="exact"/>
        <w:ind w:left="1872" w:right="504"/>
        <w:jc w:val="both"/>
        <w:textAlignment w:val="baseline"/>
        <w:rPr>
          <w:rFonts w:ascii="Bookman Old Style" w:eastAsia="Bookman Old Style" w:hAnsi="Bookman Old Style"/>
          <w:color w:val="000000"/>
          <w:sz w:val="21"/>
          <w:lang w:val="es-ES"/>
        </w:rPr>
      </w:pPr>
      <w:r>
        <w:rPr>
          <w:rFonts w:ascii="Bookman Old Style" w:eastAsia="Bookman Old Style" w:hAnsi="Bookman Old Style"/>
          <w:color w:val="000000"/>
          <w:sz w:val="21"/>
          <w:lang w:val="es-ES"/>
        </w:rPr>
        <w:t>"La ley protege la vida del que está por nacer desde el momento de la concepción y hasta su muerte natural."</w:t>
      </w:r>
    </w:p>
    <w:p w:rsidR="003D1103" w:rsidRDefault="003D1103" w:rsidP="00174B79">
      <w:pPr>
        <w:ind w:left="1843" w:right="16"/>
        <w:textAlignment w:val="baseline"/>
      </w:pPr>
    </w:p>
    <w:sectPr w:rsidR="003D1103">
      <w:pgSz w:w="12120" w:h="18221"/>
      <w:pgMar w:top="1000" w:right="1381" w:bottom="87" w:left="139"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w:font w:name="Arial Narrow">
    <w:charset w:val="00"/>
    <w:pitch w:val="variable"/>
    <w:family w:val="swiss"/>
    <w:panose1 w:val="02020603050405020304"/>
  </w:font>
  <w:font w:name="Courier New">
    <w:charset w:val="00"/>
    <w:pitch w:val="fixed"/>
    <w:family w:val="auto"/>
    <w:panose1 w:val="02020603050405020304"/>
  </w:font>
  <w:font w:name="Bookman Old Style">
    <w:charset w:val="00"/>
    <w:pitch w:val="variable"/>
    <w:family w:val="roman"/>
    <w:panose1 w:val="02020603050405020304"/>
  </w:font>
  <w:font w:name="Arial">
    <w:charset w:val="00"/>
    <w:pitch w:val="variable"/>
    <w:family w:val="swiss"/>
    <w:panose1 w:val="02020603050405020304"/>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02F335D"/>
    <w:multiLevelType w:val="multilevel"/>
    <w:tmpl w:val="8B140D5A"/>
    <w:lvl w:ilvl="0">
      <w:start w:val="4"/>
      <w:numFmt w:val="decimal"/>
      <w:lvlText w:val="%1."/>
      <w:lvlJc w:val="left"/>
      <w:pPr>
        <w:tabs>
          <w:tab w:val="left" w:pos="360"/>
        </w:tabs>
        <w:ind w:left="720"/>
      </w:pPr>
      <w:rPr>
        <w:rFonts w:ascii="Bookman Old Style" w:eastAsia="Bookman Old Style" w:hAnsi="Bookman Old Style"/>
        <w:strike w:val="0"/>
        <w:color w:val="000000"/>
        <w:spacing w:val="0"/>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7E6A0C88"/>
    <w:multiLevelType w:val="multilevel"/>
    <w:tmpl w:val="E58E209E"/>
    <w:lvl w:ilvl="0">
      <w:start w:val="1"/>
      <w:numFmt w:val="decimal"/>
      <w:lvlText w:val="%1."/>
      <w:lvlJc w:val="left"/>
      <w:pPr>
        <w:tabs>
          <w:tab w:val="left" w:pos="288"/>
        </w:tabs>
        <w:ind w:left="720"/>
      </w:pPr>
      <w:rPr>
        <w:rFonts w:ascii="Bookman Old Style" w:eastAsia="Bookman Old Style" w:hAnsi="Bookman Old Style"/>
        <w:strike w:val="0"/>
        <w:color w:val="000000"/>
        <w:spacing w:val="6"/>
        <w:w w:val="100"/>
        <w:sz w:val="21"/>
        <w:vertAlign w:val="baseline"/>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shapeLayoutLikeWW8/>
    <w:doNotUseHTMLParagraphAutoSpacing/>
    <w:applyBreakingRules/>
    <w:useFELayout/>
    <w:doNotUseIndentAsNumberingTabStop/>
    <w:compatSetting w:name="compatibilityMode" w:uri="http://schemas.microsoft.com/office/word" w:val="14"/>
  </w:compat>
  <w:rsids>
    <w:rsidRoot w:val="003D1103"/>
    <w:rsid w:val="000B4894"/>
    <w:rsid w:val="00174B79"/>
    <w:rsid w:val="003D1103"/>
    <w:rsid w:val="00BD4E6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5:docId w15:val="{18B1C4B7-074F-40E8-89DE-452D0C6C34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drId3" Type="http://schemas.openxmlformats.org/wordprocessingml/2006/fontTable" Target="fontTable0.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920</Words>
  <Characters>5065</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Leonardo Lueiza Ureta</cp:lastModifiedBy>
  <cp:revision>5</cp:revision>
  <dcterms:created xsi:type="dcterms:W3CDTF">2018-08-23T21:32:00Z</dcterms:created>
  <dcterms:modified xsi:type="dcterms:W3CDTF">2018-08-23T21:48:00Z</dcterms:modified>
</cp:coreProperties>
</file>