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E3F42" w14:textId="77777777" w:rsidR="00BC38F1" w:rsidRDefault="00BC38F1"/>
    <w:p w14:paraId="1FED8E63" w14:textId="77777777" w:rsidR="00BC38F1" w:rsidRPr="008F01B8" w:rsidRDefault="00BC38F1" w:rsidP="00594D49">
      <w:pPr>
        <w:jc w:val="center"/>
        <w:rPr>
          <w:rFonts w:ascii="Times" w:hAnsi="Times"/>
        </w:rPr>
      </w:pPr>
      <w:r w:rsidRPr="008F01B8">
        <w:object w:dxaOrig="2288" w:dyaOrig="1558" w14:anchorId="2C7F9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2pt" o:ole="" fillcolor="window">
            <v:imagedata r:id="rId6" o:title=""/>
          </v:shape>
          <o:OLEObject Type="Embed" ProgID="MSDraw" ShapeID="_x0000_i1025" DrawAspect="Content" ObjectID="_1594479009" r:id="rId7">
            <o:FieldCodes>\* MERGEFORMAT</o:FieldCodes>
          </o:OLEObject>
        </w:object>
      </w:r>
    </w:p>
    <w:p w14:paraId="777C2369" w14:textId="77777777" w:rsidR="00594D49" w:rsidRPr="00603E44" w:rsidRDefault="00594D49" w:rsidP="00594D49">
      <w:pPr>
        <w:jc w:val="center"/>
        <w:rPr>
          <w:rFonts w:ascii="Georgia" w:hAnsi="Georgia"/>
          <w:i/>
          <w:sz w:val="20"/>
          <w:szCs w:val="18"/>
        </w:rPr>
      </w:pPr>
      <w:r w:rsidRPr="00603E44">
        <w:rPr>
          <w:rFonts w:ascii="Georgia" w:hAnsi="Georgia"/>
          <w:i/>
          <w:sz w:val="20"/>
          <w:szCs w:val="18"/>
        </w:rPr>
        <w:t>Cámara de Diputados</w:t>
      </w:r>
    </w:p>
    <w:p w14:paraId="70675CDE" w14:textId="77777777" w:rsidR="00594D49" w:rsidRPr="00603E44" w:rsidRDefault="00594D49" w:rsidP="00594D49">
      <w:pPr>
        <w:jc w:val="center"/>
        <w:rPr>
          <w:rFonts w:ascii="Georgia" w:hAnsi="Georgia" w:cs="Arial"/>
          <w:sz w:val="22"/>
          <w:szCs w:val="32"/>
        </w:rPr>
      </w:pPr>
    </w:p>
    <w:p w14:paraId="4DC9D068" w14:textId="77777777" w:rsidR="00A5331C" w:rsidRPr="00EF7DD4" w:rsidRDefault="00A5331C" w:rsidP="00594D49">
      <w:pPr>
        <w:jc w:val="center"/>
        <w:rPr>
          <w:rFonts w:ascii="Times" w:hAnsi="Times" w:cs="Arial"/>
          <w:sz w:val="20"/>
          <w:szCs w:val="32"/>
        </w:rPr>
      </w:pPr>
    </w:p>
    <w:p w14:paraId="091C9B81" w14:textId="4AE30A6B" w:rsidR="00594D49" w:rsidRPr="00000471" w:rsidRDefault="00000471" w:rsidP="00594D49">
      <w:pPr>
        <w:jc w:val="center"/>
        <w:rPr>
          <w:b/>
        </w:rPr>
      </w:pPr>
      <w:r w:rsidRPr="00000471">
        <w:rPr>
          <w:rFonts w:ascii="Georgia" w:hAnsi="Georgia" w:cs="Arial"/>
          <w:b/>
        </w:rPr>
        <w:t>Modifica el Código Penal con el propósito de establecer una circunstancia agravante de la responsabilidad criminal en el caso de delitos que indica, cometidos contra dirigentes de juntas de vecinos</w:t>
      </w:r>
    </w:p>
    <w:p w14:paraId="29865146" w14:textId="77777777" w:rsidR="00594D49" w:rsidRPr="00000471" w:rsidRDefault="00594D49" w:rsidP="00594D49">
      <w:pPr>
        <w:jc w:val="both"/>
        <w:rPr>
          <w:b/>
          <w:sz w:val="23"/>
          <w:szCs w:val="25"/>
        </w:rPr>
      </w:pPr>
    </w:p>
    <w:p w14:paraId="20E8A0C1" w14:textId="21B9CA8E" w:rsidR="00594D49" w:rsidRDefault="00000471" w:rsidP="00000471">
      <w:pPr>
        <w:jc w:val="center"/>
        <w:rPr>
          <w:b/>
          <w:sz w:val="23"/>
          <w:szCs w:val="25"/>
        </w:rPr>
      </w:pPr>
      <w:r>
        <w:rPr>
          <w:b/>
          <w:sz w:val="23"/>
          <w:szCs w:val="25"/>
        </w:rPr>
        <w:t>Boletín N°11948-07</w:t>
      </w:r>
    </w:p>
    <w:p w14:paraId="6E564FAC" w14:textId="77777777" w:rsidR="00A5331C" w:rsidRPr="002032AC" w:rsidRDefault="00A5331C" w:rsidP="00594D49">
      <w:pPr>
        <w:jc w:val="both"/>
        <w:rPr>
          <w:b/>
          <w:sz w:val="23"/>
          <w:szCs w:val="25"/>
        </w:rPr>
      </w:pPr>
    </w:p>
    <w:p w14:paraId="42CECBBC" w14:textId="77777777" w:rsidR="004C7115" w:rsidRDefault="00594D49" w:rsidP="00BC38F1">
      <w:pPr>
        <w:jc w:val="both"/>
        <w:rPr>
          <w:rFonts w:ascii="Georgia" w:hAnsi="Georgia"/>
          <w:sz w:val="23"/>
          <w:szCs w:val="23"/>
        </w:rPr>
      </w:pPr>
      <w:r w:rsidRPr="00C96D8D">
        <w:rPr>
          <w:rFonts w:ascii="Georgia" w:hAnsi="Georgia"/>
          <w:b/>
          <w:sz w:val="23"/>
          <w:szCs w:val="23"/>
        </w:rPr>
        <w:t xml:space="preserve">1. Fundamentos.- </w:t>
      </w:r>
      <w:r w:rsidR="00BC38F1" w:rsidRPr="00C96D8D">
        <w:rPr>
          <w:rFonts w:ascii="Georgia" w:hAnsi="Georgia"/>
          <w:sz w:val="23"/>
          <w:szCs w:val="23"/>
        </w:rPr>
        <w:t>Las juntas de vecinos y otras organizaciones comunitarias son una instancia de participación local que se constituyen para el desarrollo y bienestar de la comunidad, pues el objetivo de esta es representar a los vecinos ante autoridades y otras instancias, identificar problemas de la comunidad y proponer y ejecutar soluciones en conjunto con sus miembros.</w:t>
      </w:r>
      <w:r w:rsidR="00BC38F1" w:rsidRPr="00C96D8D">
        <w:rPr>
          <w:rFonts w:ascii="Georgia" w:hAnsi="Georgia"/>
          <w:b/>
          <w:sz w:val="23"/>
          <w:szCs w:val="23"/>
        </w:rPr>
        <w:t xml:space="preserve"> </w:t>
      </w:r>
      <w:r w:rsidR="00BC38F1" w:rsidRPr="00C96D8D">
        <w:rPr>
          <w:rFonts w:ascii="Georgia" w:hAnsi="Georgia"/>
          <w:sz w:val="23"/>
          <w:szCs w:val="23"/>
        </w:rPr>
        <w:t>Estas organizaciones, están reguladas en la Ley N°19.418,</w:t>
      </w:r>
      <w:r w:rsidR="004C7115">
        <w:rPr>
          <w:rFonts w:ascii="Georgia" w:hAnsi="Georgia"/>
          <w:sz w:val="23"/>
          <w:szCs w:val="23"/>
        </w:rPr>
        <w:t xml:space="preserve"> cuyo texto refundido, coordinado y sistematizado fue fijado por el Decreto 58 del Ministerio del Interior de 1997,</w:t>
      </w:r>
      <w:r w:rsidR="00BC38F1" w:rsidRPr="00C96D8D">
        <w:rPr>
          <w:rFonts w:ascii="Georgia" w:hAnsi="Georgia"/>
          <w:sz w:val="23"/>
          <w:szCs w:val="23"/>
        </w:rPr>
        <w:t xml:space="preserve"> donde se dispone la constitución, organización, finalidades, atribuciones, </w:t>
      </w:r>
      <w:proofErr w:type="spellStart"/>
      <w:r w:rsidR="00BC38F1" w:rsidRPr="00C96D8D">
        <w:rPr>
          <w:rFonts w:ascii="Georgia" w:hAnsi="Georgia"/>
          <w:sz w:val="23"/>
          <w:szCs w:val="23"/>
        </w:rPr>
        <w:t>supervigilancia</w:t>
      </w:r>
      <w:proofErr w:type="spellEnd"/>
      <w:r w:rsidR="00BC38F1" w:rsidRPr="00C96D8D">
        <w:rPr>
          <w:rFonts w:ascii="Georgia" w:hAnsi="Georgia"/>
          <w:sz w:val="23"/>
          <w:szCs w:val="23"/>
        </w:rPr>
        <w:t xml:space="preserve"> y disolución de las juntas de vecinos y de las demás organizaciones comunitarias. </w:t>
      </w:r>
    </w:p>
    <w:p w14:paraId="4AC628BE" w14:textId="77777777" w:rsidR="004C7115" w:rsidRDefault="004C7115" w:rsidP="00BC38F1">
      <w:pPr>
        <w:jc w:val="both"/>
        <w:rPr>
          <w:rFonts w:ascii="Georgia" w:hAnsi="Georgia"/>
          <w:sz w:val="23"/>
          <w:szCs w:val="23"/>
        </w:rPr>
      </w:pPr>
    </w:p>
    <w:p w14:paraId="176BDA0B" w14:textId="3413D910" w:rsidR="00BC38F1" w:rsidRPr="00C96D8D" w:rsidRDefault="004C7115" w:rsidP="004C7115">
      <w:pPr>
        <w:ind w:firstLine="720"/>
        <w:jc w:val="both"/>
        <w:rPr>
          <w:rFonts w:ascii="Georgia" w:hAnsi="Georgia"/>
          <w:b/>
          <w:sz w:val="23"/>
          <w:szCs w:val="23"/>
        </w:rPr>
      </w:pPr>
      <w:r>
        <w:rPr>
          <w:rFonts w:ascii="Georgia" w:hAnsi="Georgia"/>
          <w:sz w:val="23"/>
          <w:szCs w:val="23"/>
        </w:rPr>
        <w:t>En este sentido, l</w:t>
      </w:r>
      <w:r w:rsidR="00BC38F1" w:rsidRPr="00C96D8D">
        <w:rPr>
          <w:rFonts w:ascii="Georgia" w:hAnsi="Georgia"/>
          <w:sz w:val="23"/>
          <w:szCs w:val="23"/>
        </w:rPr>
        <w:t>as Juntas de vecinos cuentan con una directiva, que, en razón de sus estatutos, puede estar  integrada por el presidente, vicepresidente, secretario general y tesorero u otro cargo a elección, sin embargo debe contar por lo menos con un presidente, un tesorero y un secretario. A su turno,</w:t>
      </w:r>
      <w:r w:rsidR="00BC38F1" w:rsidRPr="00C96D8D">
        <w:rPr>
          <w:rFonts w:ascii="Georgia" w:hAnsi="Georgia"/>
          <w:b/>
          <w:sz w:val="23"/>
          <w:szCs w:val="23"/>
        </w:rPr>
        <w:t xml:space="preserve"> </w:t>
      </w:r>
      <w:r w:rsidR="00BC38F1" w:rsidRPr="00C96D8D">
        <w:rPr>
          <w:rFonts w:ascii="Georgia" w:hAnsi="Georgia"/>
          <w:sz w:val="23"/>
          <w:szCs w:val="23"/>
        </w:rPr>
        <w:t>el presidente tiene la representación judicial y extrajudicial de la junta de vecinos y, en su ausencia, al vicepresidente o a quien lo subrogue, de acuerdo con los estatutos. Cada junta de vecinos tendrá derecho a ser representada por su presidente, su secretario y su tesorero en la asamblea constitutiva y en las sesiones ordinarias y extraordinarias que celebre la instancia “unión comunal”, organización donde se agrupan las juntas de vecino de cada comuna.</w:t>
      </w:r>
      <w:r w:rsidR="00BC38F1" w:rsidRPr="00C96D8D">
        <w:rPr>
          <w:rFonts w:ascii="Georgia" w:hAnsi="Georgia"/>
          <w:b/>
          <w:sz w:val="23"/>
          <w:szCs w:val="23"/>
        </w:rPr>
        <w:t xml:space="preserve"> </w:t>
      </w:r>
      <w:r w:rsidR="00BC38F1" w:rsidRPr="00C96D8D">
        <w:rPr>
          <w:rFonts w:ascii="Georgia" w:hAnsi="Georgia"/>
          <w:sz w:val="23"/>
          <w:szCs w:val="23"/>
        </w:rPr>
        <w:t>La naturaleza de las actividades que desarrollan las juntas de vecinos, son “de índole deportiva, medioambiental, educativa, de capacitación, recreación o culturales que involucren a los vecinos. Por ejemplo: remodelación de una plaza o un campeonato deportivo. Colaborar con el municipio en temas de seguridad ciudadana, fiscalización de lugares de venta de alcohol o planes de empleo para la comuna, entre otros que aumenten el bienestar de los vecinos.”</w:t>
      </w:r>
      <w:r w:rsidR="00BC38F1" w:rsidRPr="00C96D8D">
        <w:rPr>
          <w:rStyle w:val="Refdenotaalpie"/>
          <w:rFonts w:ascii="Georgia" w:hAnsi="Georgia"/>
          <w:sz w:val="23"/>
          <w:szCs w:val="23"/>
        </w:rPr>
        <w:footnoteReference w:id="1"/>
      </w:r>
      <w:r w:rsidR="00BC38F1" w:rsidRPr="00C96D8D">
        <w:rPr>
          <w:rFonts w:ascii="Georgia" w:hAnsi="Georgia"/>
          <w:sz w:val="23"/>
          <w:szCs w:val="23"/>
        </w:rPr>
        <w:t xml:space="preserve"> </w:t>
      </w:r>
    </w:p>
    <w:p w14:paraId="1F9887E1" w14:textId="77777777" w:rsidR="00BC38F1" w:rsidRPr="00C96D8D" w:rsidRDefault="00BC38F1" w:rsidP="00BC38F1">
      <w:pPr>
        <w:jc w:val="both"/>
        <w:rPr>
          <w:rFonts w:ascii="Georgia" w:hAnsi="Georgia"/>
          <w:sz w:val="23"/>
          <w:szCs w:val="23"/>
        </w:rPr>
      </w:pPr>
    </w:p>
    <w:p w14:paraId="39A178D6" w14:textId="1872B2CF" w:rsidR="00BC38F1" w:rsidRPr="007A21D1" w:rsidRDefault="007A21D1" w:rsidP="007A21D1">
      <w:pPr>
        <w:pStyle w:val="HTMLconformatoprevio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ab/>
      </w:r>
      <w:r w:rsidR="00BC38F1" w:rsidRPr="007A21D1">
        <w:rPr>
          <w:rFonts w:ascii="Georgia" w:hAnsi="Georgia"/>
          <w:color w:val="000000" w:themeColor="text1"/>
          <w:sz w:val="24"/>
          <w:szCs w:val="24"/>
        </w:rPr>
        <w:t xml:space="preserve">Entre las funciones y atribuciones de las juntas de vecinos, contempladas en el párrafo segundo de la ley antes referida, se encuentra, como objetivo general “promover la integración, la participación y el desarrollo de los habitantes de la unidad vecinal”, asimismo, </w:t>
      </w:r>
      <w:r w:rsidRPr="007A21D1">
        <w:rPr>
          <w:rFonts w:ascii="Georgia" w:hAnsi="Georgia"/>
          <w:color w:val="000000" w:themeColor="text1"/>
          <w:sz w:val="24"/>
          <w:szCs w:val="24"/>
        </w:rPr>
        <w:t xml:space="preserve">deben “Gestionar la solución de los asuntos o problemas que afecten a la unidad vecinal, representando las inquietudes e intereses de sus miembros en estas materias”, que en muchos casos comprende las constantes peligros al que son expuestos </w:t>
      </w:r>
      <w:r w:rsidRPr="007A21D1">
        <w:rPr>
          <w:rFonts w:ascii="Georgia" w:hAnsi="Georgia"/>
          <w:color w:val="000000" w:themeColor="text1"/>
          <w:sz w:val="24"/>
          <w:szCs w:val="24"/>
        </w:rPr>
        <w:lastRenderedPageBreak/>
        <w:t>los vecinos por practicas delictivas,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7A21D1">
        <w:rPr>
          <w:rFonts w:ascii="Georgia" w:hAnsi="Georgia"/>
          <w:color w:val="000000" w:themeColor="text1"/>
          <w:sz w:val="24"/>
          <w:szCs w:val="24"/>
        </w:rPr>
        <w:t xml:space="preserve">de ahí que una </w:t>
      </w:r>
      <w:r w:rsidR="00BC38F1" w:rsidRPr="007A21D1">
        <w:rPr>
          <w:rFonts w:ascii="Georgia" w:hAnsi="Georgia"/>
          <w:color w:val="000000" w:themeColor="text1"/>
          <w:sz w:val="24"/>
          <w:szCs w:val="24"/>
        </w:rPr>
        <w:t>de las funciones específicas a resaltar,</w:t>
      </w:r>
      <w:r w:rsidRPr="007A21D1">
        <w:rPr>
          <w:rFonts w:ascii="Georgia" w:hAnsi="Georgia"/>
          <w:color w:val="000000" w:themeColor="text1"/>
          <w:sz w:val="24"/>
          <w:szCs w:val="24"/>
        </w:rPr>
        <w:t xml:space="preserve"> es precisamente </w:t>
      </w:r>
      <w:r w:rsidR="00BC38F1" w:rsidRPr="007A21D1">
        <w:rPr>
          <w:rFonts w:ascii="Georgia" w:hAnsi="Georgia"/>
          <w:color w:val="000000" w:themeColor="text1"/>
          <w:sz w:val="24"/>
          <w:szCs w:val="24"/>
        </w:rPr>
        <w:t xml:space="preserve"> lo dispuesto en la letra g) del numeral 1.- del artículo 43, se tiene que la junta de vecinos debe “Colaborar con la municipalidad y organismos públicos competentes en la proposición, coordinación, información, difusión y ejecución de medidas tendientes al resguardo de la seguridad ciudadana.”, en</w:t>
      </w:r>
      <w:r w:rsidR="00BC38F1" w:rsidRPr="00C96D8D">
        <w:rPr>
          <w:rFonts w:ascii="Georgia" w:hAnsi="Georgia"/>
          <w:sz w:val="23"/>
          <w:szCs w:val="23"/>
        </w:rPr>
        <w:t xml:space="preserve"> virtud de esto y otras funciones que tienen las juntas de vecinos, sus integrantes se han expuesto a situaciones de riesgo. En efecto, en diversas ocasiones sus dirigentes han sido objeto de amenazas y agresiones por parte de personas</w:t>
      </w:r>
      <w:r w:rsidR="00C96D8D" w:rsidRPr="00C96D8D">
        <w:rPr>
          <w:rFonts w:ascii="Georgia" w:hAnsi="Georgia"/>
          <w:sz w:val="23"/>
          <w:szCs w:val="23"/>
        </w:rPr>
        <w:t xml:space="preserve"> u organizaciones delictuales cuando asumen tareas de organización en materia de seguridad ciudadana.</w:t>
      </w:r>
      <w:r w:rsidR="00BC38F1" w:rsidRPr="00C96D8D">
        <w:rPr>
          <w:rFonts w:ascii="Georgia" w:hAnsi="Georgia"/>
          <w:sz w:val="23"/>
          <w:szCs w:val="23"/>
        </w:rPr>
        <w:t xml:space="preserve"> </w:t>
      </w:r>
    </w:p>
    <w:p w14:paraId="02A58921" w14:textId="77777777" w:rsidR="00BC38F1" w:rsidRPr="00C96D8D" w:rsidRDefault="00BC38F1" w:rsidP="00594D49">
      <w:pPr>
        <w:jc w:val="both"/>
        <w:rPr>
          <w:rFonts w:ascii="Georgia" w:hAnsi="Georgia"/>
          <w:sz w:val="23"/>
          <w:szCs w:val="23"/>
        </w:rPr>
      </w:pPr>
    </w:p>
    <w:p w14:paraId="238A733C" w14:textId="4BCE0DFF" w:rsidR="00594D49" w:rsidRPr="00C96D8D" w:rsidRDefault="00594D49" w:rsidP="00C96D8D">
      <w:pPr>
        <w:ind w:firstLine="720"/>
        <w:jc w:val="both"/>
        <w:rPr>
          <w:rFonts w:ascii="Georgia" w:hAnsi="Georgia"/>
          <w:sz w:val="23"/>
          <w:szCs w:val="23"/>
        </w:rPr>
      </w:pPr>
      <w:r w:rsidRPr="00C96D8D">
        <w:rPr>
          <w:rFonts w:ascii="Georgia" w:hAnsi="Georgia"/>
          <w:sz w:val="23"/>
          <w:szCs w:val="23"/>
        </w:rPr>
        <w:t>E</w:t>
      </w:r>
      <w:r w:rsidR="007A21D1">
        <w:rPr>
          <w:rFonts w:ascii="Georgia" w:hAnsi="Georgia"/>
          <w:sz w:val="23"/>
          <w:szCs w:val="23"/>
        </w:rPr>
        <w:t>n e</w:t>
      </w:r>
      <w:r w:rsidRPr="00C96D8D">
        <w:rPr>
          <w:rFonts w:ascii="Georgia" w:hAnsi="Georgia"/>
          <w:sz w:val="23"/>
          <w:szCs w:val="23"/>
        </w:rPr>
        <w:t>l contexto social en la actualidad, presenta como uno de sus principales</w:t>
      </w:r>
      <w:r w:rsidR="007A21D1">
        <w:rPr>
          <w:rFonts w:ascii="Georgia" w:hAnsi="Georgia"/>
          <w:sz w:val="23"/>
          <w:szCs w:val="23"/>
        </w:rPr>
        <w:t xml:space="preserve"> preocupaciones </w:t>
      </w:r>
      <w:r w:rsidRPr="00C96D8D">
        <w:rPr>
          <w:rFonts w:ascii="Georgia" w:hAnsi="Georgia"/>
          <w:sz w:val="23"/>
          <w:szCs w:val="23"/>
        </w:rPr>
        <w:t>la ocurrencia de delitos</w:t>
      </w:r>
      <w:r w:rsidR="007A21D1">
        <w:rPr>
          <w:rFonts w:ascii="Georgia" w:hAnsi="Georgia"/>
          <w:sz w:val="23"/>
          <w:szCs w:val="23"/>
        </w:rPr>
        <w:t xml:space="preserve"> violentos, habitualmente</w:t>
      </w:r>
      <w:r w:rsidRPr="00C96D8D">
        <w:rPr>
          <w:rFonts w:ascii="Georgia" w:hAnsi="Georgia"/>
          <w:sz w:val="23"/>
          <w:szCs w:val="23"/>
        </w:rPr>
        <w:t xml:space="preserve"> contra la propiedad, especialmente, bajo la modalidad de robos con violencia e intimidación</w:t>
      </w:r>
      <w:r w:rsidR="00BC38F1" w:rsidRPr="00C96D8D">
        <w:rPr>
          <w:rFonts w:ascii="Georgia" w:hAnsi="Georgia"/>
          <w:sz w:val="23"/>
          <w:szCs w:val="23"/>
        </w:rPr>
        <w:t xml:space="preserve">, además </w:t>
      </w:r>
      <w:r w:rsidR="007A21D1">
        <w:rPr>
          <w:rFonts w:ascii="Georgia" w:hAnsi="Georgia"/>
          <w:sz w:val="23"/>
          <w:szCs w:val="23"/>
        </w:rPr>
        <w:t xml:space="preserve">otros </w:t>
      </w:r>
      <w:r w:rsidR="00BC38F1" w:rsidRPr="00C96D8D">
        <w:rPr>
          <w:rFonts w:ascii="Georgia" w:hAnsi="Georgia"/>
          <w:sz w:val="23"/>
          <w:szCs w:val="23"/>
        </w:rPr>
        <w:t>delitos contenidos en la ley de control de armas y delitos asociados al tráfico ilícito de estupefacientes</w:t>
      </w:r>
      <w:r w:rsidRPr="00C96D8D">
        <w:rPr>
          <w:rFonts w:ascii="Georgia" w:hAnsi="Georgia"/>
          <w:sz w:val="23"/>
          <w:szCs w:val="23"/>
        </w:rPr>
        <w:t>. Lo anterior</w:t>
      </w:r>
      <w:r w:rsidR="007A21D1">
        <w:rPr>
          <w:rFonts w:ascii="Georgia" w:hAnsi="Georgia"/>
          <w:sz w:val="23"/>
          <w:szCs w:val="23"/>
        </w:rPr>
        <w:t>,</w:t>
      </w:r>
      <w:r w:rsidRPr="00C96D8D">
        <w:rPr>
          <w:rFonts w:ascii="Georgia" w:hAnsi="Georgia"/>
          <w:sz w:val="23"/>
          <w:szCs w:val="23"/>
        </w:rPr>
        <w:t xml:space="preserve"> es una situación compleja que obedece a factores de diversa índole. En este ámbito, espe</w:t>
      </w:r>
      <w:r w:rsidR="007A21D1">
        <w:rPr>
          <w:rFonts w:ascii="Georgia" w:hAnsi="Georgia"/>
          <w:sz w:val="23"/>
          <w:szCs w:val="23"/>
        </w:rPr>
        <w:t>cial consideración merece que parte de</w:t>
      </w:r>
      <w:r w:rsidRPr="00C96D8D">
        <w:rPr>
          <w:rFonts w:ascii="Georgia" w:hAnsi="Georgia"/>
          <w:sz w:val="23"/>
          <w:szCs w:val="23"/>
        </w:rPr>
        <w:t xml:space="preserve"> la violencia o intimidación se ejerce en contra de ciertos grupos de personas que cumplen un servicio a la comunidad y que conforme a</w:t>
      </w:r>
      <w:r w:rsidR="00C96D8D" w:rsidRPr="00C96D8D">
        <w:rPr>
          <w:rFonts w:ascii="Georgia" w:hAnsi="Georgia"/>
          <w:sz w:val="23"/>
          <w:szCs w:val="23"/>
        </w:rPr>
        <w:t xml:space="preserve"> sus atribuciones coadyuvan a las agencias comunales y policiales en temas de seguridad pública. En este contexto, sus dirigentes </w:t>
      </w:r>
      <w:r w:rsidRPr="00C96D8D">
        <w:rPr>
          <w:rFonts w:ascii="Georgia" w:hAnsi="Georgia"/>
          <w:sz w:val="23"/>
          <w:szCs w:val="23"/>
        </w:rPr>
        <w:t>se encuentran en situación de vulnerabilidad frente a esta clase de delitos, lo que hace necesaria una revisión del actual esquema de tutela penal.</w:t>
      </w:r>
    </w:p>
    <w:p w14:paraId="117379C7" w14:textId="77777777" w:rsidR="00594D49" w:rsidRPr="00C96D8D" w:rsidRDefault="00594D49" w:rsidP="00000471">
      <w:pPr>
        <w:spacing w:after="120"/>
        <w:jc w:val="both"/>
        <w:rPr>
          <w:rFonts w:ascii="Georgia" w:hAnsi="Georgia"/>
          <w:sz w:val="23"/>
          <w:szCs w:val="25"/>
        </w:rPr>
      </w:pPr>
      <w:bookmarkStart w:id="0" w:name="_GoBack"/>
      <w:bookmarkEnd w:id="0"/>
    </w:p>
    <w:p w14:paraId="16137B85" w14:textId="77777777" w:rsidR="00594D49" w:rsidRPr="00C96D8D" w:rsidRDefault="00594D49" w:rsidP="00594D49">
      <w:pPr>
        <w:jc w:val="both"/>
        <w:rPr>
          <w:rFonts w:ascii="Georgia" w:hAnsi="Georgia"/>
          <w:sz w:val="23"/>
        </w:rPr>
      </w:pPr>
      <w:r w:rsidRPr="00C96D8D">
        <w:rPr>
          <w:rFonts w:ascii="Georgia" w:hAnsi="Georgia"/>
          <w:sz w:val="23"/>
          <w:szCs w:val="25"/>
        </w:rPr>
        <w:tab/>
        <w:t>Uno de los mecanismos razonables, en relación a este segmento vulnerable, es establecer una circunstancia agravante especial de la pena tratándose de</w:t>
      </w:r>
      <w:r w:rsidR="00C96D8D" w:rsidRPr="00C96D8D">
        <w:rPr>
          <w:rFonts w:ascii="Georgia" w:hAnsi="Georgia"/>
          <w:sz w:val="23"/>
          <w:szCs w:val="25"/>
        </w:rPr>
        <w:t xml:space="preserve"> ciertos</w:t>
      </w:r>
      <w:r w:rsidRPr="00C96D8D">
        <w:rPr>
          <w:rFonts w:ascii="Georgia" w:hAnsi="Georgia"/>
          <w:sz w:val="23"/>
          <w:szCs w:val="25"/>
        </w:rPr>
        <w:t xml:space="preserve"> delito</w:t>
      </w:r>
      <w:r w:rsidR="00C96D8D" w:rsidRPr="00C96D8D">
        <w:rPr>
          <w:rFonts w:ascii="Georgia" w:hAnsi="Georgia"/>
          <w:sz w:val="23"/>
          <w:szCs w:val="25"/>
        </w:rPr>
        <w:t>s</w:t>
      </w:r>
      <w:r w:rsidRPr="00C96D8D">
        <w:rPr>
          <w:rFonts w:ascii="Georgia" w:hAnsi="Georgia"/>
          <w:sz w:val="23"/>
          <w:szCs w:val="25"/>
        </w:rPr>
        <w:t xml:space="preserve"> </w:t>
      </w:r>
      <w:r w:rsidR="00C96D8D" w:rsidRPr="00C96D8D">
        <w:rPr>
          <w:rFonts w:ascii="Georgia" w:hAnsi="Georgia"/>
          <w:sz w:val="23"/>
          <w:szCs w:val="25"/>
        </w:rPr>
        <w:t>que pudieran ser objeto estas personas</w:t>
      </w:r>
      <w:r w:rsidRPr="00C96D8D">
        <w:rPr>
          <w:rFonts w:ascii="Georgia" w:hAnsi="Georgia"/>
          <w:sz w:val="23"/>
          <w:szCs w:val="25"/>
        </w:rPr>
        <w:t xml:space="preserve">. Históricamente, </w:t>
      </w:r>
      <w:r w:rsidRPr="00C96D8D">
        <w:rPr>
          <w:rFonts w:ascii="Georgia" w:hAnsi="Georgia"/>
          <w:sz w:val="23"/>
        </w:rPr>
        <w:t>el reconocimiento de las circunstancias modificativas, aparece ya en el derecho romano</w:t>
      </w:r>
      <w:r w:rsidRPr="00C96D8D">
        <w:rPr>
          <w:rStyle w:val="Refdenotaalpie"/>
          <w:rFonts w:ascii="Georgia" w:hAnsi="Georgia"/>
          <w:sz w:val="23"/>
        </w:rPr>
        <w:footnoteReference w:id="2"/>
      </w:r>
      <w:r w:rsidRPr="00C96D8D">
        <w:rPr>
          <w:rFonts w:ascii="Georgia" w:hAnsi="Georgia"/>
          <w:sz w:val="23"/>
        </w:rPr>
        <w:t>, aunque interesa contextualizarlo en su vertiente actual, y que de un análisis de las legislaciones, aflora marcadamente en las regulaciones en la materia tres criterios diferentes, que como señala Rivacoba, “a veces presentan ciertas variantes: el de circunstancias genéricas, dejadas a la libre apreciación del juzgador; el de circunstancias específicas enumeradas taxativamente en el texto legal (</w:t>
      </w:r>
      <w:r w:rsidRPr="00C96D8D">
        <w:rPr>
          <w:rFonts w:ascii="Georgia" w:hAnsi="Georgia"/>
          <w:i/>
          <w:sz w:val="23"/>
        </w:rPr>
        <w:t>numerus clausus</w:t>
      </w:r>
      <w:r w:rsidRPr="00C96D8D">
        <w:rPr>
          <w:rFonts w:ascii="Georgia" w:hAnsi="Georgia"/>
          <w:sz w:val="23"/>
        </w:rPr>
        <w:t>), y el de circunstancias específicas y una general, que permite a los jueces estimar otras, sea en las atenuantes y en las agravantes o sólo en aquellas, además de las consignadas en el texto (</w:t>
      </w:r>
      <w:r w:rsidRPr="00C96D8D">
        <w:rPr>
          <w:rFonts w:ascii="Georgia" w:hAnsi="Georgia"/>
          <w:i/>
          <w:sz w:val="23"/>
        </w:rPr>
        <w:t>numerus apertus</w:t>
      </w:r>
      <w:r w:rsidRPr="00C96D8D">
        <w:rPr>
          <w:rFonts w:ascii="Georgia" w:hAnsi="Georgia"/>
          <w:sz w:val="23"/>
        </w:rPr>
        <w:t>)”</w:t>
      </w:r>
      <w:r w:rsidRPr="00C96D8D">
        <w:rPr>
          <w:rStyle w:val="Refdenotaalpie"/>
          <w:rFonts w:ascii="Georgia" w:hAnsi="Georgia"/>
          <w:sz w:val="23"/>
        </w:rPr>
        <w:footnoteReference w:id="3"/>
      </w:r>
      <w:r w:rsidRPr="00C96D8D">
        <w:rPr>
          <w:rFonts w:ascii="Georgia" w:hAnsi="Georgia"/>
          <w:sz w:val="23"/>
        </w:rPr>
        <w:t xml:space="preserve">, en una situación parecida, en el análisis del sistema español, Muñoz Conde afirma que “junto a las </w:t>
      </w:r>
      <w:r w:rsidRPr="00C96D8D">
        <w:rPr>
          <w:rFonts w:ascii="Georgia" w:hAnsi="Georgia"/>
          <w:i/>
          <w:sz w:val="23"/>
        </w:rPr>
        <w:t xml:space="preserve">circunstancias genéricas, </w:t>
      </w:r>
      <w:r w:rsidRPr="00C96D8D">
        <w:rPr>
          <w:rFonts w:ascii="Georgia" w:hAnsi="Georgia"/>
          <w:sz w:val="23"/>
        </w:rPr>
        <w:t xml:space="preserve">el Código prevé las denominadas </w:t>
      </w:r>
      <w:r w:rsidRPr="00C96D8D">
        <w:rPr>
          <w:rFonts w:ascii="Georgia" w:hAnsi="Georgia"/>
          <w:i/>
          <w:sz w:val="23"/>
        </w:rPr>
        <w:t xml:space="preserve">circunstancias específicas, </w:t>
      </w:r>
      <w:r w:rsidRPr="00C96D8D">
        <w:rPr>
          <w:rFonts w:ascii="Georgia" w:hAnsi="Georgia"/>
          <w:sz w:val="23"/>
        </w:rPr>
        <w:t>establecidas concretamente en algunos tipos penales…”</w:t>
      </w:r>
      <w:r w:rsidRPr="00C96D8D">
        <w:rPr>
          <w:rStyle w:val="Refdenotaalpie"/>
          <w:rFonts w:ascii="Georgia" w:hAnsi="Georgia"/>
          <w:sz w:val="23"/>
        </w:rPr>
        <w:footnoteReference w:id="4"/>
      </w:r>
      <w:r w:rsidRPr="00C96D8D">
        <w:rPr>
          <w:rFonts w:ascii="Georgia" w:hAnsi="Georgia"/>
          <w:sz w:val="23"/>
        </w:rPr>
        <w:t>.</w:t>
      </w:r>
    </w:p>
    <w:p w14:paraId="047667F3" w14:textId="77777777" w:rsidR="00594D49" w:rsidRPr="00C96D8D" w:rsidRDefault="00594D49" w:rsidP="00594D49">
      <w:pPr>
        <w:jc w:val="both"/>
        <w:rPr>
          <w:rFonts w:ascii="Georgia" w:hAnsi="Georgia"/>
          <w:sz w:val="23"/>
          <w:szCs w:val="25"/>
        </w:rPr>
      </w:pPr>
    </w:p>
    <w:p w14:paraId="4D7E8575" w14:textId="68F2F1F8" w:rsidR="00594D49" w:rsidRPr="00C96D8D" w:rsidRDefault="00594D49" w:rsidP="00594D49">
      <w:pPr>
        <w:ind w:firstLine="708"/>
        <w:jc w:val="both"/>
        <w:rPr>
          <w:rFonts w:ascii="Georgia" w:hAnsi="Georgia"/>
          <w:sz w:val="23"/>
          <w:szCs w:val="25"/>
        </w:rPr>
      </w:pPr>
      <w:r w:rsidRPr="00C96D8D">
        <w:rPr>
          <w:rFonts w:ascii="Georgia" w:hAnsi="Georgia"/>
          <w:sz w:val="23"/>
        </w:rPr>
        <w:t>En general lo fundamental para la determinación de la agravación es el mayor injusto del caso en cuestión, y su mayor culpabilidad (</w:t>
      </w:r>
      <w:proofErr w:type="spellStart"/>
      <w:r w:rsidRPr="00C96D8D">
        <w:rPr>
          <w:rFonts w:ascii="Georgia" w:hAnsi="Georgia"/>
          <w:sz w:val="23"/>
        </w:rPr>
        <w:t>reprochabilidad</w:t>
      </w:r>
      <w:proofErr w:type="spellEnd"/>
      <w:r w:rsidRPr="00C96D8D">
        <w:rPr>
          <w:rFonts w:ascii="Georgia" w:hAnsi="Georgia"/>
          <w:sz w:val="23"/>
        </w:rPr>
        <w:t>).</w:t>
      </w:r>
      <w:r w:rsidR="00A5331C">
        <w:rPr>
          <w:rFonts w:ascii="Georgia" w:hAnsi="Georgia"/>
          <w:sz w:val="23"/>
        </w:rPr>
        <w:t xml:space="preserve"> </w:t>
      </w:r>
      <w:r w:rsidRPr="00C96D8D">
        <w:rPr>
          <w:rFonts w:ascii="Georgia" w:hAnsi="Georgia"/>
          <w:sz w:val="23"/>
        </w:rPr>
        <w:t xml:space="preserve"> En otras palabras la primera supone un incremento de la gravedad objetiva del </w:t>
      </w:r>
      <w:r w:rsidRPr="00C96D8D">
        <w:rPr>
          <w:rFonts w:ascii="Georgia" w:hAnsi="Georgia"/>
          <w:sz w:val="23"/>
        </w:rPr>
        <w:lastRenderedPageBreak/>
        <w:t>hecho, y la segunda un mayor reproche al autor</w:t>
      </w:r>
      <w:r w:rsidRPr="00C96D8D">
        <w:rPr>
          <w:rFonts w:ascii="Georgia" w:hAnsi="Georgia"/>
          <w:sz w:val="23"/>
          <w:szCs w:val="25"/>
        </w:rPr>
        <w:t>. En este contexto, la circunstancia agravante propuesta se justifica objetivamente en la situación de vulnerabilidad de la víctima, por cuanto, ésta se encuentra en una situació</w:t>
      </w:r>
      <w:r w:rsidR="00B85F7E">
        <w:rPr>
          <w:rFonts w:ascii="Georgia" w:hAnsi="Georgia"/>
          <w:sz w:val="23"/>
          <w:szCs w:val="25"/>
        </w:rPr>
        <w:t xml:space="preserve">n de extrema indefensión, </w:t>
      </w:r>
      <w:r w:rsidRPr="00C96D8D">
        <w:rPr>
          <w:rFonts w:ascii="Georgia" w:hAnsi="Georgia"/>
          <w:sz w:val="23"/>
          <w:szCs w:val="25"/>
        </w:rPr>
        <w:t>al momento de la comisión del hecho punible como al momento que sigue a la comisión, pues por la naturaleza de su</w:t>
      </w:r>
      <w:r w:rsidR="00B85F7E">
        <w:rPr>
          <w:rFonts w:ascii="Georgia" w:hAnsi="Georgia"/>
          <w:sz w:val="23"/>
          <w:szCs w:val="25"/>
        </w:rPr>
        <w:t>s funciones como dirigente vecinal, especialmente en problemas que afectan a la unidad en el ámbito de la seguridad ciudadana lo exponen a represalias de las organizaciones criminales que intimidan a las comunidades con sus prácticas</w:t>
      </w:r>
      <w:r w:rsidRPr="00C96D8D">
        <w:rPr>
          <w:rFonts w:ascii="Georgia" w:hAnsi="Georgia"/>
          <w:sz w:val="23"/>
          <w:szCs w:val="25"/>
        </w:rPr>
        <w:t xml:space="preserve">, asimismo, el plus </w:t>
      </w:r>
      <w:r w:rsidR="00E1450D">
        <w:rPr>
          <w:rFonts w:ascii="Georgia" w:hAnsi="Georgia"/>
          <w:sz w:val="23"/>
          <w:szCs w:val="25"/>
        </w:rPr>
        <w:t>de injusto</w:t>
      </w:r>
      <w:r w:rsidRPr="00C96D8D">
        <w:rPr>
          <w:rFonts w:ascii="Georgia" w:hAnsi="Georgia"/>
          <w:sz w:val="23"/>
          <w:szCs w:val="25"/>
        </w:rPr>
        <w:t xml:space="preserve"> radica en el disvalor de esta conducta atendido el carácter social de las funciones de las personas afectadas.</w:t>
      </w:r>
    </w:p>
    <w:p w14:paraId="09D2AB7B" w14:textId="77777777" w:rsidR="00594D49" w:rsidRPr="00C96D8D" w:rsidRDefault="00594D49" w:rsidP="00594D49">
      <w:pPr>
        <w:jc w:val="both"/>
        <w:rPr>
          <w:rFonts w:ascii="Georgia" w:hAnsi="Georgia"/>
          <w:sz w:val="23"/>
          <w:szCs w:val="25"/>
        </w:rPr>
      </w:pPr>
      <w:r w:rsidRPr="00C96D8D">
        <w:rPr>
          <w:rFonts w:ascii="Georgia" w:hAnsi="Georgia"/>
          <w:sz w:val="23"/>
          <w:szCs w:val="25"/>
        </w:rPr>
        <w:tab/>
        <w:t xml:space="preserve">       </w:t>
      </w:r>
    </w:p>
    <w:p w14:paraId="6671E672" w14:textId="77777777" w:rsidR="00594D49" w:rsidRPr="00C96D8D" w:rsidRDefault="00594D49" w:rsidP="00594D49">
      <w:pPr>
        <w:jc w:val="both"/>
        <w:rPr>
          <w:rFonts w:ascii="Georgia" w:hAnsi="Georgia"/>
          <w:sz w:val="23"/>
          <w:szCs w:val="25"/>
        </w:rPr>
      </w:pPr>
    </w:p>
    <w:p w14:paraId="7AAA6743" w14:textId="56CA3F59" w:rsidR="00B85F7E" w:rsidRDefault="00594D49" w:rsidP="00594D49">
      <w:pPr>
        <w:jc w:val="both"/>
        <w:rPr>
          <w:rFonts w:ascii="Georgia" w:hAnsi="Georgia"/>
          <w:sz w:val="23"/>
          <w:szCs w:val="25"/>
        </w:rPr>
      </w:pPr>
      <w:r w:rsidRPr="00C96D8D">
        <w:rPr>
          <w:rFonts w:ascii="Georgia" w:hAnsi="Georgia"/>
          <w:b/>
          <w:sz w:val="23"/>
          <w:szCs w:val="25"/>
        </w:rPr>
        <w:t>2.</w:t>
      </w:r>
      <w:r w:rsidR="004535D3">
        <w:rPr>
          <w:rFonts w:ascii="Georgia" w:hAnsi="Georgia"/>
          <w:b/>
          <w:sz w:val="23"/>
          <w:szCs w:val="25"/>
        </w:rPr>
        <w:t xml:space="preserve"> Historia legislativa.- </w:t>
      </w:r>
      <w:r w:rsidR="004535D3" w:rsidRPr="004535D3">
        <w:rPr>
          <w:rFonts w:ascii="Georgia" w:hAnsi="Georgia"/>
          <w:sz w:val="23"/>
          <w:szCs w:val="25"/>
        </w:rPr>
        <w:t xml:space="preserve">En la legislación nacional se advierte una tendencia </w:t>
      </w:r>
      <w:r w:rsidR="006C600A">
        <w:rPr>
          <w:rFonts w:ascii="Georgia" w:hAnsi="Georgia"/>
          <w:sz w:val="23"/>
          <w:szCs w:val="25"/>
        </w:rPr>
        <w:t>a establecer un marco de protección especial por el ejercicio de sus funciones, tratándose de funcionarios de Carabineros, Policía de Investigaciones y Gendarmería, mediante el alza de la punibilidad, tratándose de los delitos de amenaza, castraciones y mutilaciones, lesiones graves y homicidios de los que pueden ser victimas tal como se desprende de las enmiendas introducidas por las ley 20.064</w:t>
      </w:r>
      <w:r w:rsidR="00B85F7E">
        <w:rPr>
          <w:rFonts w:ascii="Georgia" w:hAnsi="Georgia"/>
          <w:sz w:val="23"/>
          <w:szCs w:val="25"/>
        </w:rPr>
        <w:t xml:space="preserve"> de 2005 que aumenta las penas tratándose de delitos cometidos contra funcionarios de Carabineros</w:t>
      </w:r>
      <w:r w:rsidR="006C600A">
        <w:rPr>
          <w:rFonts w:ascii="Georgia" w:hAnsi="Georgia"/>
          <w:sz w:val="23"/>
          <w:szCs w:val="25"/>
        </w:rPr>
        <w:t xml:space="preserve"> </w:t>
      </w:r>
      <w:r w:rsidR="00B85F7E">
        <w:rPr>
          <w:rFonts w:ascii="Georgia" w:hAnsi="Georgia"/>
          <w:sz w:val="23"/>
          <w:szCs w:val="25"/>
        </w:rPr>
        <w:t>y más recientemente el año 2016, por la ley núm.</w:t>
      </w:r>
      <w:r w:rsidR="006C600A">
        <w:rPr>
          <w:rFonts w:ascii="Georgia" w:hAnsi="Georgia"/>
          <w:sz w:val="23"/>
          <w:szCs w:val="25"/>
        </w:rPr>
        <w:t xml:space="preserve"> 20.931 (agenda corta) a las normas del Código de Justicia Militar y leyes orgánicas respectivas.</w:t>
      </w:r>
      <w:r w:rsidR="00B85F7E">
        <w:rPr>
          <w:rFonts w:ascii="Georgia" w:hAnsi="Georgia"/>
          <w:sz w:val="23"/>
          <w:szCs w:val="25"/>
        </w:rPr>
        <w:t xml:space="preserve"> En este contexto, la presente propuesta busca dotar de un mecanismo de protección, a los dirigentes vecinales que puedan ser objetos de conductas delictivas en el ejercicio de sus funciones.</w:t>
      </w:r>
    </w:p>
    <w:p w14:paraId="1E92D376" w14:textId="77777777" w:rsidR="006C600A" w:rsidRPr="004535D3" w:rsidRDefault="006C600A" w:rsidP="00594D49">
      <w:pPr>
        <w:jc w:val="both"/>
        <w:rPr>
          <w:rFonts w:ascii="Georgia" w:hAnsi="Georgia"/>
          <w:sz w:val="23"/>
          <w:szCs w:val="25"/>
        </w:rPr>
      </w:pPr>
    </w:p>
    <w:p w14:paraId="6FED8966" w14:textId="77777777" w:rsidR="004535D3" w:rsidRDefault="004535D3" w:rsidP="00594D49">
      <w:pPr>
        <w:jc w:val="both"/>
        <w:rPr>
          <w:rFonts w:ascii="Georgia" w:hAnsi="Georgia"/>
          <w:b/>
          <w:sz w:val="23"/>
          <w:szCs w:val="25"/>
        </w:rPr>
      </w:pPr>
    </w:p>
    <w:p w14:paraId="3AA29707" w14:textId="33253582" w:rsidR="00594D49" w:rsidRPr="00C96D8D" w:rsidRDefault="004535D3" w:rsidP="00594D49">
      <w:pPr>
        <w:jc w:val="both"/>
        <w:rPr>
          <w:rFonts w:ascii="Georgia" w:hAnsi="Georgia"/>
          <w:sz w:val="23"/>
          <w:szCs w:val="25"/>
        </w:rPr>
      </w:pPr>
      <w:r>
        <w:rPr>
          <w:rFonts w:ascii="Georgia" w:hAnsi="Georgia"/>
          <w:b/>
          <w:sz w:val="23"/>
          <w:szCs w:val="25"/>
        </w:rPr>
        <w:t>3.</w:t>
      </w:r>
      <w:r w:rsidR="00594D49" w:rsidRPr="00C96D8D">
        <w:rPr>
          <w:rFonts w:ascii="Georgia" w:hAnsi="Georgia"/>
          <w:b/>
          <w:sz w:val="23"/>
          <w:szCs w:val="25"/>
        </w:rPr>
        <w:t xml:space="preserve"> Ideas Matrices.- </w:t>
      </w:r>
      <w:r w:rsidR="00594D49" w:rsidRPr="00C96D8D">
        <w:rPr>
          <w:rFonts w:ascii="Georgia" w:hAnsi="Georgia"/>
          <w:sz w:val="23"/>
          <w:szCs w:val="25"/>
        </w:rPr>
        <w:t>De ahí que el objeto del presente proyecto de ley, es establecer una circunstancia agravante de la responsabilidad criminal, específica, respecto de</w:t>
      </w:r>
      <w:r w:rsidR="00162788">
        <w:rPr>
          <w:rFonts w:ascii="Georgia" w:hAnsi="Georgia"/>
          <w:sz w:val="23"/>
          <w:szCs w:val="25"/>
        </w:rPr>
        <w:t xml:space="preserve"> los delitos de amenaza, lesiones graves, castración, mutilación y homicidios, que </w:t>
      </w:r>
      <w:r w:rsidR="006C600A">
        <w:rPr>
          <w:rFonts w:ascii="Georgia" w:hAnsi="Georgia"/>
          <w:sz w:val="23"/>
          <w:szCs w:val="25"/>
        </w:rPr>
        <w:t>pudieren cometerse en contra</w:t>
      </w:r>
      <w:r w:rsidR="00162788">
        <w:rPr>
          <w:rFonts w:ascii="Georgia" w:hAnsi="Georgia"/>
          <w:sz w:val="23"/>
          <w:szCs w:val="25"/>
        </w:rPr>
        <w:t xml:space="preserve"> miembros de </w:t>
      </w:r>
      <w:r w:rsidR="006C600A">
        <w:rPr>
          <w:rFonts w:ascii="Georgia" w:hAnsi="Georgia"/>
          <w:sz w:val="23"/>
          <w:szCs w:val="25"/>
        </w:rPr>
        <w:t xml:space="preserve">las directivas de las </w:t>
      </w:r>
      <w:r w:rsidR="00162788">
        <w:rPr>
          <w:rFonts w:ascii="Georgia" w:hAnsi="Georgia"/>
          <w:sz w:val="23"/>
          <w:szCs w:val="25"/>
        </w:rPr>
        <w:t>juntas de vecinos</w:t>
      </w:r>
      <w:r w:rsidR="006C600A">
        <w:rPr>
          <w:rFonts w:ascii="Georgia" w:hAnsi="Georgia"/>
          <w:sz w:val="23"/>
          <w:szCs w:val="25"/>
        </w:rPr>
        <w:t>, cuando se realizan en represalia del ejercicio de sus atribuciones en materia de seguridad</w:t>
      </w:r>
      <w:r w:rsidR="00594D49" w:rsidRPr="00C96D8D">
        <w:rPr>
          <w:rFonts w:ascii="Georgia" w:hAnsi="Georgia"/>
          <w:sz w:val="23"/>
          <w:szCs w:val="25"/>
        </w:rPr>
        <w:t xml:space="preserve">. Esta modificación, se fundamenta </w:t>
      </w:r>
      <w:r w:rsidR="006C600A">
        <w:rPr>
          <w:rFonts w:ascii="Georgia" w:hAnsi="Georgia"/>
          <w:sz w:val="23"/>
          <w:szCs w:val="25"/>
        </w:rPr>
        <w:t xml:space="preserve">en </w:t>
      </w:r>
      <w:r w:rsidR="00594D49" w:rsidRPr="00C96D8D">
        <w:rPr>
          <w:rFonts w:ascii="Georgia" w:hAnsi="Georgia"/>
          <w:sz w:val="23"/>
          <w:szCs w:val="25"/>
        </w:rPr>
        <w:t xml:space="preserve">la mayor antijuridicidad del hecho ilícito respecto a las personas que se desempeñan </w:t>
      </w:r>
      <w:r w:rsidR="00162788">
        <w:rPr>
          <w:rFonts w:ascii="Georgia" w:hAnsi="Georgia"/>
          <w:sz w:val="23"/>
          <w:szCs w:val="25"/>
        </w:rPr>
        <w:t>voluntariamente en estas organizaciones</w:t>
      </w:r>
      <w:r w:rsidR="00594D49" w:rsidRPr="00C96D8D">
        <w:rPr>
          <w:rFonts w:ascii="Georgia" w:hAnsi="Georgia"/>
          <w:sz w:val="23"/>
          <w:szCs w:val="25"/>
        </w:rPr>
        <w:t xml:space="preserve">, sea </w:t>
      </w:r>
      <w:r w:rsidR="00FA6362">
        <w:rPr>
          <w:rFonts w:ascii="Georgia" w:hAnsi="Georgia"/>
          <w:sz w:val="23"/>
          <w:szCs w:val="25"/>
        </w:rPr>
        <w:t xml:space="preserve">colaborando en materias de prevención, o bien, actuando frente a la autoridad respecto de situaciones que afectan al sector que representan, lo que </w:t>
      </w:r>
      <w:r w:rsidR="00594D49" w:rsidRPr="00C96D8D">
        <w:rPr>
          <w:rFonts w:ascii="Georgia" w:hAnsi="Georgia"/>
          <w:sz w:val="23"/>
          <w:szCs w:val="25"/>
        </w:rPr>
        <w:t xml:space="preserve"> </w:t>
      </w:r>
      <w:r w:rsidR="00FA6362">
        <w:rPr>
          <w:rFonts w:ascii="Georgia" w:hAnsi="Georgia"/>
          <w:sz w:val="23"/>
          <w:szCs w:val="25"/>
        </w:rPr>
        <w:t>sitúa a los dirigentes en una</w:t>
      </w:r>
      <w:r w:rsidR="00594D49" w:rsidRPr="00C96D8D">
        <w:rPr>
          <w:rFonts w:ascii="Georgia" w:hAnsi="Georgia"/>
          <w:sz w:val="23"/>
          <w:szCs w:val="25"/>
        </w:rPr>
        <w:t xml:space="preserve"> </w:t>
      </w:r>
      <w:r w:rsidR="006C600A">
        <w:rPr>
          <w:rFonts w:ascii="Georgia" w:hAnsi="Georgia"/>
          <w:sz w:val="23"/>
          <w:szCs w:val="25"/>
        </w:rPr>
        <w:t xml:space="preserve">posición </w:t>
      </w:r>
      <w:r w:rsidR="00594D49" w:rsidRPr="00C96D8D">
        <w:rPr>
          <w:rFonts w:ascii="Georgia" w:hAnsi="Georgia"/>
          <w:sz w:val="23"/>
          <w:szCs w:val="25"/>
        </w:rPr>
        <w:t xml:space="preserve">vulnerable </w:t>
      </w:r>
      <w:r w:rsidR="00FA6362">
        <w:rPr>
          <w:rFonts w:ascii="Georgia" w:hAnsi="Georgia"/>
          <w:sz w:val="23"/>
          <w:szCs w:val="25"/>
        </w:rPr>
        <w:t>por</w:t>
      </w:r>
      <w:r w:rsidR="00594D49" w:rsidRPr="00C96D8D">
        <w:rPr>
          <w:rFonts w:ascii="Georgia" w:hAnsi="Georgia"/>
          <w:sz w:val="23"/>
          <w:szCs w:val="25"/>
        </w:rPr>
        <w:t xml:space="preserve"> el carácter social </w:t>
      </w:r>
      <w:r w:rsidR="00FA6362">
        <w:rPr>
          <w:rFonts w:ascii="Georgia" w:hAnsi="Georgia"/>
          <w:sz w:val="23"/>
          <w:szCs w:val="25"/>
        </w:rPr>
        <w:t>de sus funciones propias del ámbito de la seguridad pública</w:t>
      </w:r>
      <w:r w:rsidR="00594D49" w:rsidRPr="00C96D8D">
        <w:rPr>
          <w:rFonts w:ascii="Georgia" w:hAnsi="Georgia"/>
          <w:sz w:val="23"/>
          <w:szCs w:val="25"/>
        </w:rPr>
        <w:t xml:space="preserve">. En estos casos, el juez deberá considerar la agravante a fin de aumentar la penalidad acorde con la antijuridicidad del hecho sancionado.    </w:t>
      </w:r>
    </w:p>
    <w:p w14:paraId="0A88CBCD" w14:textId="77777777" w:rsidR="00594D49" w:rsidRPr="00C96D8D" w:rsidRDefault="00594D49" w:rsidP="00594D49">
      <w:pPr>
        <w:jc w:val="both"/>
        <w:rPr>
          <w:rFonts w:ascii="Georgia" w:hAnsi="Georgia"/>
          <w:sz w:val="23"/>
          <w:szCs w:val="25"/>
        </w:rPr>
      </w:pPr>
      <w:r w:rsidRPr="00C96D8D">
        <w:rPr>
          <w:rFonts w:ascii="Georgia" w:hAnsi="Georgia"/>
          <w:sz w:val="23"/>
          <w:szCs w:val="25"/>
        </w:rPr>
        <w:t xml:space="preserve"> </w:t>
      </w:r>
    </w:p>
    <w:p w14:paraId="24533BA0" w14:textId="69F4DA6B" w:rsidR="00594D49" w:rsidRPr="00FA6362" w:rsidRDefault="00594D49" w:rsidP="006C600A">
      <w:pPr>
        <w:ind w:firstLine="708"/>
        <w:jc w:val="both"/>
        <w:rPr>
          <w:rFonts w:ascii="Georgia" w:hAnsi="Georgia"/>
          <w:sz w:val="23"/>
          <w:szCs w:val="25"/>
        </w:rPr>
      </w:pPr>
      <w:r w:rsidRPr="00FA6362">
        <w:rPr>
          <w:rFonts w:ascii="Georgia" w:hAnsi="Georgia"/>
          <w:snapToGrid w:val="0"/>
          <w:sz w:val="23"/>
          <w:szCs w:val="25"/>
        </w:rPr>
        <w:t xml:space="preserve">Es por eso que sobre la base de </w:t>
      </w:r>
      <w:r w:rsidR="006C600A">
        <w:rPr>
          <w:rFonts w:ascii="Georgia" w:hAnsi="Georgia"/>
          <w:snapToGrid w:val="0"/>
          <w:sz w:val="23"/>
          <w:szCs w:val="25"/>
        </w:rPr>
        <w:t>los siguientes antecedentes venim</w:t>
      </w:r>
      <w:r w:rsidRPr="00FA6362">
        <w:rPr>
          <w:rFonts w:ascii="Georgia" w:hAnsi="Georgia"/>
          <w:snapToGrid w:val="0"/>
          <w:sz w:val="23"/>
          <w:szCs w:val="25"/>
        </w:rPr>
        <w:t>o</w:t>
      </w:r>
      <w:r w:rsidR="006C600A">
        <w:rPr>
          <w:rFonts w:ascii="Georgia" w:hAnsi="Georgia"/>
          <w:snapToGrid w:val="0"/>
          <w:sz w:val="23"/>
          <w:szCs w:val="25"/>
        </w:rPr>
        <w:t>s</w:t>
      </w:r>
      <w:r w:rsidRPr="00FA6362">
        <w:rPr>
          <w:rFonts w:ascii="Georgia" w:hAnsi="Georgia"/>
          <w:snapToGrid w:val="0"/>
          <w:sz w:val="23"/>
          <w:szCs w:val="25"/>
        </w:rPr>
        <w:t xml:space="preserve"> en pr</w:t>
      </w:r>
      <w:r w:rsidR="006C600A">
        <w:rPr>
          <w:rFonts w:ascii="Georgia" w:hAnsi="Georgia"/>
          <w:snapToGrid w:val="0"/>
          <w:sz w:val="23"/>
          <w:szCs w:val="25"/>
        </w:rPr>
        <w:t>oponer el siguiente:</w:t>
      </w:r>
    </w:p>
    <w:p w14:paraId="28231EB3" w14:textId="4B39B353" w:rsidR="00A5331C" w:rsidRDefault="00A5331C">
      <w:pPr>
        <w:rPr>
          <w:rFonts w:ascii="Georgia" w:hAnsi="Georgia"/>
          <w:szCs w:val="25"/>
        </w:rPr>
      </w:pPr>
      <w:r>
        <w:rPr>
          <w:rFonts w:ascii="Georgia" w:hAnsi="Georgia"/>
          <w:szCs w:val="25"/>
        </w:rPr>
        <w:br w:type="page"/>
      </w:r>
    </w:p>
    <w:p w14:paraId="7FA15722" w14:textId="77777777" w:rsidR="00594D49" w:rsidRPr="00FA6362" w:rsidRDefault="00594D49" w:rsidP="00594D49">
      <w:pPr>
        <w:jc w:val="both"/>
        <w:rPr>
          <w:rFonts w:ascii="Georgia" w:hAnsi="Georgia"/>
          <w:szCs w:val="25"/>
        </w:rPr>
      </w:pPr>
    </w:p>
    <w:p w14:paraId="665D8DFE" w14:textId="77777777" w:rsidR="00594D49" w:rsidRPr="00FA6362" w:rsidRDefault="00594D49" w:rsidP="00594D49">
      <w:pPr>
        <w:jc w:val="center"/>
        <w:rPr>
          <w:rFonts w:ascii="Georgia" w:hAnsi="Georgia"/>
          <w:i/>
          <w:snapToGrid w:val="0"/>
          <w:sz w:val="25"/>
          <w:szCs w:val="25"/>
        </w:rPr>
      </w:pPr>
      <w:r w:rsidRPr="00FA6362">
        <w:rPr>
          <w:rFonts w:ascii="Georgia" w:hAnsi="Georgia"/>
          <w:i/>
          <w:snapToGrid w:val="0"/>
          <w:sz w:val="25"/>
          <w:szCs w:val="25"/>
        </w:rPr>
        <w:t>Proyecto de ley</w:t>
      </w:r>
    </w:p>
    <w:p w14:paraId="2E1D48BA" w14:textId="77777777" w:rsidR="00594D49" w:rsidRPr="007C0B24" w:rsidRDefault="00594D49" w:rsidP="00594D49">
      <w:pPr>
        <w:jc w:val="both"/>
        <w:rPr>
          <w:snapToGrid w:val="0"/>
          <w:sz w:val="25"/>
          <w:szCs w:val="25"/>
        </w:rPr>
      </w:pPr>
    </w:p>
    <w:p w14:paraId="347BE049" w14:textId="77777777" w:rsidR="00594D49" w:rsidRPr="007C0B24" w:rsidRDefault="00594D49" w:rsidP="00594D49">
      <w:pPr>
        <w:jc w:val="both"/>
        <w:rPr>
          <w:snapToGrid w:val="0"/>
          <w:sz w:val="25"/>
          <w:szCs w:val="25"/>
        </w:rPr>
      </w:pPr>
    </w:p>
    <w:p w14:paraId="0F582CC2" w14:textId="48A1C366" w:rsidR="00594D49" w:rsidRPr="004535D3" w:rsidRDefault="00594D49" w:rsidP="00594D49">
      <w:pPr>
        <w:jc w:val="both"/>
        <w:rPr>
          <w:rFonts w:ascii="Courier" w:hAnsi="Courier"/>
          <w:b/>
          <w:snapToGrid w:val="0"/>
          <w:sz w:val="25"/>
          <w:szCs w:val="25"/>
        </w:rPr>
      </w:pPr>
      <w:r w:rsidRPr="004535D3">
        <w:rPr>
          <w:rFonts w:ascii="Courier" w:hAnsi="Courier"/>
          <w:b/>
          <w:snapToGrid w:val="0"/>
          <w:sz w:val="25"/>
          <w:szCs w:val="25"/>
        </w:rPr>
        <w:t xml:space="preserve">Art. Único. Agréguese el siguiente </w:t>
      </w:r>
      <w:r w:rsidR="00462910">
        <w:rPr>
          <w:rFonts w:ascii="Courier" w:hAnsi="Courier"/>
          <w:b/>
          <w:snapToGrid w:val="0"/>
          <w:sz w:val="25"/>
          <w:szCs w:val="25"/>
        </w:rPr>
        <w:t>numeral 22) en el art. 12 del Código Penal</w:t>
      </w:r>
      <w:r w:rsidRPr="004535D3">
        <w:rPr>
          <w:rFonts w:ascii="Courier" w:hAnsi="Courier"/>
          <w:b/>
          <w:snapToGrid w:val="0"/>
          <w:sz w:val="25"/>
          <w:szCs w:val="25"/>
        </w:rPr>
        <w:t>:</w:t>
      </w:r>
    </w:p>
    <w:p w14:paraId="44B9D8F5" w14:textId="77777777" w:rsidR="00594D49" w:rsidRPr="002032AC" w:rsidRDefault="00594D49" w:rsidP="00594D49">
      <w:pPr>
        <w:jc w:val="both"/>
        <w:rPr>
          <w:snapToGrid w:val="0"/>
          <w:sz w:val="25"/>
          <w:szCs w:val="25"/>
        </w:rPr>
      </w:pPr>
    </w:p>
    <w:p w14:paraId="28C4F79C" w14:textId="50AD96F4" w:rsidR="00594D49" w:rsidRPr="004535D3" w:rsidRDefault="00594D49" w:rsidP="00594D49">
      <w:pPr>
        <w:jc w:val="both"/>
        <w:rPr>
          <w:rFonts w:ascii="Courier New" w:hAnsi="Courier New" w:cs="Courier New"/>
          <w:snapToGrid w:val="0"/>
        </w:rPr>
      </w:pPr>
      <w:r w:rsidRPr="004535D3">
        <w:rPr>
          <w:rFonts w:ascii="Courier" w:hAnsi="Courier"/>
          <w:snapToGrid w:val="0"/>
        </w:rPr>
        <w:tab/>
      </w:r>
      <w:r w:rsidRPr="004535D3">
        <w:rPr>
          <w:rFonts w:ascii="Courier New" w:hAnsi="Courier New" w:cs="Courier New"/>
          <w:snapToGrid w:val="0"/>
        </w:rPr>
        <w:t>“</w:t>
      </w:r>
      <w:r w:rsidR="00B85F7E">
        <w:rPr>
          <w:rFonts w:ascii="Courier New" w:hAnsi="Courier New" w:cs="Courier New"/>
          <w:snapToGrid w:val="0"/>
        </w:rPr>
        <w:t>22ª</w:t>
      </w:r>
      <w:r w:rsidR="007A21D1">
        <w:rPr>
          <w:rFonts w:ascii="Courier New" w:hAnsi="Courier New" w:cs="Courier New"/>
          <w:snapToGrid w:val="0"/>
        </w:rPr>
        <w:t>. Cometer</w:t>
      </w:r>
      <w:r w:rsidR="00462910">
        <w:rPr>
          <w:rFonts w:ascii="Courier New" w:hAnsi="Courier New" w:cs="Courier New"/>
          <w:snapToGrid w:val="0"/>
        </w:rPr>
        <w:t xml:space="preserve"> los delitos previstos en los</w:t>
      </w:r>
      <w:r w:rsidR="00634BCE">
        <w:rPr>
          <w:rFonts w:ascii="Courier New" w:hAnsi="Courier New" w:cs="Courier New"/>
          <w:snapToGrid w:val="0"/>
        </w:rPr>
        <w:t xml:space="preserve"> artículo</w:t>
      </w:r>
      <w:r w:rsidR="00462910">
        <w:rPr>
          <w:rFonts w:ascii="Courier New" w:hAnsi="Courier New" w:cs="Courier New"/>
          <w:snapToGrid w:val="0"/>
        </w:rPr>
        <w:t>s</w:t>
      </w:r>
      <w:r w:rsidR="007A21D1">
        <w:rPr>
          <w:rFonts w:ascii="Courier New" w:hAnsi="Courier New" w:cs="Courier New"/>
          <w:snapToGrid w:val="0"/>
        </w:rPr>
        <w:t xml:space="preserve"> 2</w:t>
      </w:r>
      <w:r w:rsidR="00634BCE">
        <w:rPr>
          <w:rFonts w:ascii="Courier New" w:hAnsi="Courier New" w:cs="Courier New"/>
          <w:snapToGrid w:val="0"/>
        </w:rPr>
        <w:t>9</w:t>
      </w:r>
      <w:r w:rsidR="007A21D1">
        <w:rPr>
          <w:rFonts w:ascii="Courier New" w:hAnsi="Courier New" w:cs="Courier New"/>
          <w:snapToGrid w:val="0"/>
        </w:rPr>
        <w:t>6</w:t>
      </w:r>
      <w:r w:rsidR="00634BCE">
        <w:rPr>
          <w:rFonts w:ascii="Courier New" w:hAnsi="Courier New" w:cs="Courier New"/>
          <w:snapToGrid w:val="0"/>
        </w:rPr>
        <w:t xml:space="preserve">, </w:t>
      </w:r>
      <w:r w:rsidR="007A21D1">
        <w:rPr>
          <w:rFonts w:ascii="Courier New" w:hAnsi="Courier New" w:cs="Courier New"/>
          <w:snapToGrid w:val="0"/>
        </w:rPr>
        <w:t xml:space="preserve">297, 395, </w:t>
      </w:r>
      <w:r w:rsidR="00B85F7E">
        <w:rPr>
          <w:rFonts w:ascii="Courier New" w:hAnsi="Courier New" w:cs="Courier New"/>
          <w:snapToGrid w:val="0"/>
        </w:rPr>
        <w:t xml:space="preserve">396, </w:t>
      </w:r>
      <w:r w:rsidR="007A21D1">
        <w:rPr>
          <w:rFonts w:ascii="Courier New" w:hAnsi="Courier New" w:cs="Courier New"/>
          <w:snapToGrid w:val="0"/>
        </w:rPr>
        <w:t>397</w:t>
      </w:r>
      <w:r w:rsidR="00B85F7E">
        <w:rPr>
          <w:rFonts w:ascii="Courier New" w:hAnsi="Courier New" w:cs="Courier New"/>
          <w:snapToGrid w:val="0"/>
        </w:rPr>
        <w:t>, 399</w:t>
      </w:r>
      <w:r w:rsidR="007A21D1">
        <w:rPr>
          <w:rFonts w:ascii="Courier New" w:hAnsi="Courier New" w:cs="Courier New"/>
          <w:snapToGrid w:val="0"/>
        </w:rPr>
        <w:t xml:space="preserve"> y 391 </w:t>
      </w:r>
      <w:r w:rsidR="00634BCE">
        <w:rPr>
          <w:rFonts w:ascii="Courier New" w:hAnsi="Courier New" w:cs="Courier New"/>
          <w:snapToGrid w:val="0"/>
        </w:rPr>
        <w:t xml:space="preserve">en </w:t>
      </w:r>
      <w:r w:rsidRPr="004535D3">
        <w:rPr>
          <w:rFonts w:ascii="Courier New" w:hAnsi="Courier New" w:cs="Courier New"/>
          <w:snapToGrid w:val="0"/>
        </w:rPr>
        <w:t>contra</w:t>
      </w:r>
      <w:r w:rsidR="00634BCE">
        <w:rPr>
          <w:rFonts w:ascii="Courier New" w:hAnsi="Courier New" w:cs="Courier New"/>
          <w:snapToGrid w:val="0"/>
        </w:rPr>
        <w:t xml:space="preserve"> de</w:t>
      </w:r>
      <w:r w:rsidRPr="004535D3">
        <w:rPr>
          <w:rFonts w:ascii="Courier New" w:hAnsi="Courier New" w:cs="Courier New"/>
          <w:snapToGrid w:val="0"/>
        </w:rPr>
        <w:t xml:space="preserve"> </w:t>
      </w:r>
      <w:r w:rsidR="004C7115">
        <w:rPr>
          <w:rFonts w:ascii="Courier New" w:hAnsi="Courier New" w:cs="Courier New"/>
          <w:snapToGrid w:val="0"/>
        </w:rPr>
        <w:t xml:space="preserve">uno o más </w:t>
      </w:r>
      <w:r w:rsidR="00634BCE">
        <w:rPr>
          <w:rFonts w:ascii="Courier New" w:hAnsi="Courier New" w:cs="Courier New"/>
          <w:snapToGrid w:val="0"/>
        </w:rPr>
        <w:t xml:space="preserve">integrantes de la directiva de una junta de vecinos, </w:t>
      </w:r>
      <w:r w:rsidR="004C7115">
        <w:rPr>
          <w:rFonts w:ascii="Courier New" w:hAnsi="Courier New" w:cs="Courier New"/>
          <w:snapToGrid w:val="0"/>
        </w:rPr>
        <w:t>en</w:t>
      </w:r>
      <w:r w:rsidR="00462910">
        <w:rPr>
          <w:rFonts w:ascii="Courier New" w:hAnsi="Courier New" w:cs="Courier New"/>
          <w:snapToGrid w:val="0"/>
        </w:rPr>
        <w:t xml:space="preserve"> represalia</w:t>
      </w:r>
      <w:r w:rsidR="00634BCE">
        <w:rPr>
          <w:rFonts w:ascii="Courier New" w:hAnsi="Courier New" w:cs="Courier New"/>
          <w:snapToGrid w:val="0"/>
        </w:rPr>
        <w:t xml:space="preserve"> del ejercicio de sus funciones.</w:t>
      </w:r>
      <w:r w:rsidRPr="004535D3">
        <w:rPr>
          <w:rFonts w:ascii="Courier New" w:hAnsi="Courier New" w:cs="Courier New"/>
          <w:snapToGrid w:val="0"/>
        </w:rPr>
        <w:t xml:space="preserve">”. </w:t>
      </w:r>
    </w:p>
    <w:p w14:paraId="275BF5E3" w14:textId="77777777" w:rsidR="00594D49" w:rsidRPr="004535D3" w:rsidRDefault="00594D49" w:rsidP="00594D49">
      <w:pPr>
        <w:jc w:val="both"/>
        <w:rPr>
          <w:rFonts w:ascii="Courier New" w:hAnsi="Courier New" w:cs="Courier New"/>
          <w:snapToGrid w:val="0"/>
          <w:sz w:val="25"/>
          <w:szCs w:val="25"/>
        </w:rPr>
      </w:pPr>
    </w:p>
    <w:p w14:paraId="0DF4D39E" w14:textId="77777777" w:rsidR="00594D49" w:rsidRPr="004535D3" w:rsidRDefault="00594D49" w:rsidP="00594D49">
      <w:pPr>
        <w:jc w:val="both"/>
        <w:rPr>
          <w:rFonts w:ascii="Courier New" w:hAnsi="Courier New" w:cs="Courier New"/>
          <w:snapToGrid w:val="0"/>
          <w:sz w:val="25"/>
          <w:szCs w:val="25"/>
        </w:rPr>
      </w:pPr>
    </w:p>
    <w:p w14:paraId="04671930" w14:textId="77777777" w:rsidR="00594D49" w:rsidRPr="002032AC" w:rsidRDefault="00594D49" w:rsidP="00594D49">
      <w:pPr>
        <w:jc w:val="both"/>
        <w:rPr>
          <w:snapToGrid w:val="0"/>
          <w:sz w:val="25"/>
          <w:szCs w:val="25"/>
        </w:rPr>
      </w:pPr>
    </w:p>
    <w:p w14:paraId="023DF02D" w14:textId="77777777" w:rsidR="00594D49" w:rsidRPr="002032AC" w:rsidRDefault="00594D49" w:rsidP="00594D49">
      <w:pPr>
        <w:jc w:val="both"/>
        <w:rPr>
          <w:snapToGrid w:val="0"/>
          <w:sz w:val="25"/>
          <w:szCs w:val="25"/>
        </w:rPr>
      </w:pPr>
    </w:p>
    <w:p w14:paraId="13BF49D1" w14:textId="77777777" w:rsidR="00594D49" w:rsidRDefault="00594D49"/>
    <w:sectPr w:rsidR="00594D49" w:rsidSect="00A5331C">
      <w:pgSz w:w="11900" w:h="16840"/>
      <w:pgMar w:top="1440" w:right="1800" w:bottom="170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F2C47" w14:textId="77777777" w:rsidR="00085683" w:rsidRDefault="00085683">
      <w:r>
        <w:separator/>
      </w:r>
    </w:p>
  </w:endnote>
  <w:endnote w:type="continuationSeparator" w:id="0">
    <w:p w14:paraId="3ECF32B7" w14:textId="77777777" w:rsidR="00085683" w:rsidRDefault="0008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AF8D4" w14:textId="77777777" w:rsidR="00085683" w:rsidRDefault="00085683">
      <w:r>
        <w:separator/>
      </w:r>
    </w:p>
  </w:footnote>
  <w:footnote w:type="continuationSeparator" w:id="0">
    <w:p w14:paraId="6988502C" w14:textId="77777777" w:rsidR="00085683" w:rsidRDefault="00085683">
      <w:r>
        <w:continuationSeparator/>
      </w:r>
    </w:p>
  </w:footnote>
  <w:footnote w:id="1">
    <w:p w14:paraId="69EA9574" w14:textId="77777777" w:rsidR="006C600A" w:rsidRPr="00FA6362" w:rsidRDefault="006C600A" w:rsidP="00162788">
      <w:pPr>
        <w:pStyle w:val="Textonotapie"/>
        <w:jc w:val="both"/>
        <w:rPr>
          <w:rFonts w:ascii="Georgia" w:hAnsi="Georgia"/>
          <w:sz w:val="19"/>
          <w:szCs w:val="19"/>
        </w:rPr>
      </w:pPr>
      <w:r w:rsidRPr="00FA6362">
        <w:rPr>
          <w:rStyle w:val="Refdenotaalpie"/>
          <w:rFonts w:ascii="Georgia" w:hAnsi="Georgia"/>
          <w:sz w:val="19"/>
          <w:szCs w:val="19"/>
        </w:rPr>
        <w:footnoteRef/>
      </w:r>
      <w:r w:rsidRPr="00FA6362">
        <w:rPr>
          <w:rFonts w:ascii="Georgia" w:hAnsi="Georgia"/>
          <w:sz w:val="19"/>
          <w:szCs w:val="19"/>
        </w:rPr>
        <w:t xml:space="preserve"> BCN. Juntas de vecinos. [en línea] Disponible en: https://www.bcn.cl/leyfacil/recurso/juntas-de-vecinos</w:t>
      </w:r>
    </w:p>
  </w:footnote>
  <w:footnote w:id="2">
    <w:p w14:paraId="67746392" w14:textId="77777777" w:rsidR="006C600A" w:rsidRPr="00FA6362" w:rsidRDefault="006C600A" w:rsidP="00162788">
      <w:pPr>
        <w:pStyle w:val="Textonotapie"/>
        <w:jc w:val="both"/>
        <w:rPr>
          <w:rFonts w:ascii="Georgia" w:hAnsi="Georgia"/>
          <w:sz w:val="19"/>
          <w:szCs w:val="19"/>
        </w:rPr>
      </w:pPr>
      <w:r w:rsidRPr="00FA6362">
        <w:rPr>
          <w:rStyle w:val="Refdenotaalpie"/>
          <w:rFonts w:ascii="Georgia" w:hAnsi="Georgia"/>
          <w:sz w:val="19"/>
          <w:szCs w:val="19"/>
        </w:rPr>
        <w:footnoteRef/>
      </w:r>
      <w:r w:rsidRPr="00FA6362">
        <w:rPr>
          <w:rFonts w:ascii="Georgia" w:hAnsi="Georgia"/>
          <w:sz w:val="19"/>
          <w:szCs w:val="19"/>
        </w:rPr>
        <w:t xml:space="preserve"> Sobre su desarrollo histórico, con detalle, cfr. Rivacoba, Manuel, </w:t>
      </w:r>
      <w:r w:rsidRPr="00FA6362">
        <w:rPr>
          <w:rFonts w:ascii="Georgia" w:hAnsi="Georgia"/>
          <w:i/>
          <w:sz w:val="19"/>
          <w:szCs w:val="19"/>
        </w:rPr>
        <w:t>“Circunstancias modificativas de la responsabilidad criminal en la teoría general del delito”</w:t>
      </w:r>
      <w:r w:rsidRPr="00FA6362">
        <w:rPr>
          <w:rFonts w:ascii="Georgia" w:hAnsi="Georgia"/>
          <w:sz w:val="19"/>
          <w:szCs w:val="19"/>
        </w:rPr>
        <w:t xml:space="preserve">, pág. 476 y ss., en Revista </w:t>
      </w:r>
      <w:r w:rsidRPr="00FA6362">
        <w:rPr>
          <w:rFonts w:ascii="Georgia" w:hAnsi="Georgia"/>
          <w:i/>
          <w:sz w:val="19"/>
          <w:szCs w:val="19"/>
        </w:rPr>
        <w:t xml:space="preserve">Doctrina Penal. Teoría y práctica en las ciencias penales. </w:t>
      </w:r>
      <w:r w:rsidRPr="00FA6362">
        <w:rPr>
          <w:rFonts w:ascii="Georgia" w:hAnsi="Georgia"/>
          <w:sz w:val="19"/>
          <w:szCs w:val="19"/>
        </w:rPr>
        <w:t>Año 11, números 41 a 44, Ediciones Depalma, Buenos Aires, 1988.</w:t>
      </w:r>
    </w:p>
  </w:footnote>
  <w:footnote w:id="3">
    <w:p w14:paraId="771CCF79" w14:textId="77777777" w:rsidR="006C600A" w:rsidRPr="00FA6362" w:rsidRDefault="006C600A" w:rsidP="00162788">
      <w:pPr>
        <w:pStyle w:val="Textonotapie"/>
        <w:jc w:val="both"/>
        <w:rPr>
          <w:rFonts w:ascii="Georgia" w:hAnsi="Georgia"/>
          <w:sz w:val="19"/>
          <w:szCs w:val="19"/>
        </w:rPr>
      </w:pPr>
      <w:r w:rsidRPr="00FA6362">
        <w:rPr>
          <w:rStyle w:val="Refdenotaalpie"/>
          <w:rFonts w:ascii="Georgia" w:hAnsi="Georgia"/>
          <w:sz w:val="19"/>
          <w:szCs w:val="19"/>
        </w:rPr>
        <w:footnoteRef/>
      </w:r>
      <w:r w:rsidRPr="00FA6362">
        <w:rPr>
          <w:rFonts w:ascii="Georgia" w:hAnsi="Georgia"/>
          <w:sz w:val="19"/>
          <w:szCs w:val="19"/>
        </w:rPr>
        <w:t xml:space="preserve"> Rivacoba, ob. cit., pág. 477.</w:t>
      </w:r>
    </w:p>
  </w:footnote>
  <w:footnote w:id="4">
    <w:p w14:paraId="27504354" w14:textId="77777777" w:rsidR="006C600A" w:rsidRPr="00E0115C" w:rsidRDefault="006C600A" w:rsidP="00162788">
      <w:pPr>
        <w:pStyle w:val="Textonotapie"/>
        <w:jc w:val="both"/>
      </w:pPr>
      <w:r w:rsidRPr="00FA6362">
        <w:rPr>
          <w:rStyle w:val="Refdenotaalpie"/>
          <w:rFonts w:ascii="Georgia" w:hAnsi="Georgia"/>
          <w:sz w:val="19"/>
          <w:szCs w:val="19"/>
        </w:rPr>
        <w:footnoteRef/>
      </w:r>
      <w:r w:rsidRPr="00FA6362">
        <w:rPr>
          <w:rFonts w:ascii="Georgia" w:hAnsi="Georgia"/>
          <w:sz w:val="19"/>
          <w:szCs w:val="19"/>
        </w:rPr>
        <w:t xml:space="preserve"> Muñoz Conde, Francisco; García Aran, Mercedes: </w:t>
      </w:r>
      <w:r w:rsidRPr="00FA6362">
        <w:rPr>
          <w:rFonts w:ascii="Georgia" w:hAnsi="Georgia"/>
          <w:i/>
          <w:sz w:val="19"/>
          <w:szCs w:val="19"/>
        </w:rPr>
        <w:t xml:space="preserve">“Derecho Penal. Parte General”, </w:t>
      </w:r>
      <w:r w:rsidRPr="00FA6362">
        <w:rPr>
          <w:rFonts w:ascii="Georgia" w:hAnsi="Georgia"/>
          <w:sz w:val="19"/>
          <w:szCs w:val="19"/>
        </w:rPr>
        <w:t>pág. 476, 6ª edición, Editorial Tirant lo Blanch, España, 2004.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16"/>
    <w:rsid w:val="00000471"/>
    <w:rsid w:val="00085683"/>
    <w:rsid w:val="00162788"/>
    <w:rsid w:val="00371B16"/>
    <w:rsid w:val="004535D3"/>
    <w:rsid w:val="00462910"/>
    <w:rsid w:val="004C7115"/>
    <w:rsid w:val="00594D49"/>
    <w:rsid w:val="00603E44"/>
    <w:rsid w:val="00634BCE"/>
    <w:rsid w:val="006C600A"/>
    <w:rsid w:val="007A21D1"/>
    <w:rsid w:val="00980822"/>
    <w:rsid w:val="00A5331C"/>
    <w:rsid w:val="00B85F7E"/>
    <w:rsid w:val="00BC38F1"/>
    <w:rsid w:val="00C96D8D"/>
    <w:rsid w:val="00DA2049"/>
    <w:rsid w:val="00E1450D"/>
    <w:rsid w:val="00FA63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765C708"/>
  <w14:defaultImageDpi w14:val="300"/>
  <w15:docId w15:val="{5C9AA3A0-D414-45A3-956A-8C15B33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A8"/>
    <w:rPr>
      <w:sz w:val="24"/>
      <w:szCs w:val="24"/>
      <w:lang w:val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2C20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2C20A8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C38F1"/>
    <w:rPr>
      <w:lang w:val="es-ES" w:bidi="he-IL"/>
    </w:rPr>
  </w:style>
  <w:style w:type="paragraph" w:styleId="Prrafodelista">
    <w:name w:val="List Paragraph"/>
    <w:basedOn w:val="Normal"/>
    <w:uiPriority w:val="34"/>
    <w:qFormat/>
    <w:rsid w:val="004C7115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7A2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ES_tradnl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A21D1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CineMac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Enrique Aldunate</dc:creator>
  <cp:keywords/>
  <cp:lastModifiedBy>Leonardo Lueiza Ureta</cp:lastModifiedBy>
  <cp:revision>8</cp:revision>
  <dcterms:created xsi:type="dcterms:W3CDTF">2018-07-19T03:55:00Z</dcterms:created>
  <dcterms:modified xsi:type="dcterms:W3CDTF">2018-07-30T22:04:00Z</dcterms:modified>
</cp:coreProperties>
</file>