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D1" w:rsidRDefault="00B430D1" w:rsidP="00B430D1">
      <w:pPr>
        <w:spacing w:line="360" w:lineRule="auto"/>
        <w:jc w:val="center"/>
        <w:rPr>
          <w:rFonts w:ascii="Bookman Old Style" w:hAnsi="Bookman Old Style"/>
          <w:b/>
        </w:rPr>
      </w:pPr>
      <w:r w:rsidRPr="00B430D1">
        <w:rPr>
          <w:rFonts w:ascii="Bookman Old Style" w:hAnsi="Bookman Old Style"/>
          <w:b/>
        </w:rPr>
        <w:t>Modifica la ley N° 20.000, que Sustituye la ley Nº 19.366, que Sanciona el Tráfico Ilícito de Estupefacientes y Sustancias Sicotrópicas, para tipificar el delito de suministración de drogas a una persona, sin su consentimiento o conocimiento</w:t>
      </w:r>
    </w:p>
    <w:p w:rsidR="00B430D1" w:rsidRDefault="00B430D1" w:rsidP="00B430D1">
      <w:pPr>
        <w:spacing w:line="360" w:lineRule="auto"/>
        <w:jc w:val="center"/>
        <w:rPr>
          <w:rFonts w:ascii="Bookman Old Style" w:hAnsi="Bookman Old Style"/>
          <w:b/>
        </w:rPr>
      </w:pPr>
    </w:p>
    <w:p w:rsidR="00B430D1" w:rsidRDefault="00B430D1" w:rsidP="00B430D1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Boletín N°11915-07</w:t>
      </w:r>
    </w:p>
    <w:p w:rsidR="00773A51" w:rsidRDefault="005801A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1.- Antecedentes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el último tiempo han aumentado exponencialmente los casos de personas que denuncian haber sido drogadas por sujetos inescrupulosos, con el fin de abusar sexualmente de ellos, robarles sus pertenencias, acceder a sus tarjetas de crédito y cuentas bancarias, provocar adicciones, o burlarse de ellos a raíz de la pérdida de conciencia que trae aparejado su consumo.  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trata de una situación preocupante, que no se encuentra contemplada en nuestro ordenamiento jurídico, y que exige ser abordada en el plano legislativo. Actualmente, cuando a una persona se le suministra una sustancia o droga estupefaciente o sicotrópica, y falta su consentimiento y/o conocimiento,  lo que se persigue penalmente es el delito cometido “</w:t>
      </w:r>
      <w:r>
        <w:rPr>
          <w:rFonts w:ascii="Bookman Old Style" w:hAnsi="Bookman Old Style"/>
          <w:i/>
        </w:rPr>
        <w:t>a posteriori</w:t>
      </w:r>
      <w:r>
        <w:rPr>
          <w:rFonts w:ascii="Bookman Old Style" w:hAnsi="Bookman Old Style"/>
        </w:rPr>
        <w:t xml:space="preserve">”, esto es, el posible robo, el posible abuso sexual, el posible aprovechamiento de la víctima, etc. Pero no se contempla el delito de </w:t>
      </w:r>
      <w:proofErr w:type="spellStart"/>
      <w:r>
        <w:rPr>
          <w:rFonts w:ascii="Bookman Old Style" w:hAnsi="Bookman Old Style"/>
        </w:rPr>
        <w:t>suminstrar</w:t>
      </w:r>
      <w:proofErr w:type="spellEnd"/>
      <w:r>
        <w:rPr>
          <w:rFonts w:ascii="Bookman Old Style" w:hAnsi="Bookman Old Style"/>
        </w:rPr>
        <w:t xml:space="preserve"> dicha sustancia o droga en forma autónoma.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Como señala el profesor Enrique </w:t>
      </w:r>
      <w:proofErr w:type="spellStart"/>
      <w:r>
        <w:rPr>
          <w:rFonts w:ascii="Bookman Old Style" w:hAnsi="Bookman Old Style"/>
        </w:rPr>
        <w:t>Cury</w:t>
      </w:r>
      <w:proofErr w:type="spellEnd"/>
      <w:r>
        <w:rPr>
          <w:rFonts w:ascii="Bookman Old Style" w:hAnsi="Bookman Old Style"/>
        </w:rPr>
        <w:t xml:space="preserve"> Urzúa: “</w:t>
      </w:r>
      <w:r>
        <w:rPr>
          <w:rFonts w:ascii="Bookman Old Style" w:hAnsi="Bookman Old Style"/>
          <w:i/>
          <w:iCs/>
        </w:rPr>
        <w:t xml:space="preserve">Lo más característico del ordenamiento punitivo radica en que sus consecuencias constituyen las formas de reacción más severas con que cuenta el derecho, pues implican </w:t>
      </w:r>
      <w:r w:rsidR="00347217">
        <w:rPr>
          <w:rFonts w:ascii="Bookman Old Style" w:hAnsi="Bookman Old Style"/>
          <w:i/>
          <w:iCs/>
        </w:rPr>
        <w:t>irrupciones</w:t>
      </w:r>
      <w:r>
        <w:rPr>
          <w:rFonts w:ascii="Bookman Old Style" w:hAnsi="Bookman Old Style"/>
          <w:i/>
          <w:iCs/>
        </w:rPr>
        <w:t xml:space="preserve"> muy enérgicas en la esfera de los derechos del afectado</w:t>
      </w:r>
      <w:r>
        <w:rPr>
          <w:rFonts w:ascii="Bookman Old Style" w:hAnsi="Bookman Old Style"/>
        </w:rPr>
        <w:t>”</w:t>
      </w:r>
      <w:r>
        <w:rPr>
          <w:rStyle w:val="Refdenotaalpie"/>
        </w:rPr>
        <w:footnoteReference w:id="1"/>
      </w:r>
      <w:r>
        <w:rPr>
          <w:rFonts w:ascii="Bookman Old Style" w:hAnsi="Bookman Old Style"/>
        </w:rPr>
        <w:t xml:space="preserve">. 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B430D1" w:rsidRDefault="00B430D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Asimismo, “</w:t>
      </w:r>
      <w:r>
        <w:rPr>
          <w:rFonts w:ascii="Bookman Old Style" w:hAnsi="Bookman Old Style"/>
          <w:i/>
          <w:iCs/>
        </w:rPr>
        <w:t>el derecho penal es secundario o subsidiario, porque la pena sólo debe emplearse cuando el ataque al bien jurídico no puede sancionarse de manera apropiada acudiendo a los medios de solucionarlo de que disponen las otras ramas del ordenamiento jurídico. La pena es, pues, un recurso de ultima rati</w:t>
      </w:r>
      <w:r>
        <w:rPr>
          <w:rFonts w:ascii="Bookman Old Style" w:hAnsi="Bookman Old Style"/>
        </w:rPr>
        <w:t>o”</w:t>
      </w:r>
      <w:r>
        <w:rPr>
          <w:rStyle w:val="Refdenotaalpie"/>
        </w:rPr>
        <w:footnoteReference w:id="2"/>
      </w:r>
      <w:r>
        <w:rPr>
          <w:rFonts w:ascii="Bookman Old Style" w:hAnsi="Bookman Old Style"/>
        </w:rPr>
        <w:t>.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 es aceptable que se suministre una sustancia o droga </w:t>
      </w:r>
      <w:proofErr w:type="spellStart"/>
      <w:r>
        <w:rPr>
          <w:rFonts w:ascii="Bookman Old Style" w:hAnsi="Bookman Old Style"/>
        </w:rPr>
        <w:t>estupecaciente</w:t>
      </w:r>
      <w:proofErr w:type="spellEnd"/>
      <w:r>
        <w:rPr>
          <w:rFonts w:ascii="Bookman Old Style" w:hAnsi="Bookman Old Style"/>
        </w:rPr>
        <w:t xml:space="preserve"> o sicotrópica a otra persona, </w:t>
      </w:r>
      <w:r w:rsidR="00347217">
        <w:rPr>
          <w:rFonts w:ascii="Bookman Old Style" w:hAnsi="Bookman Old Style"/>
        </w:rPr>
        <w:t>faltando su</w:t>
      </w:r>
      <w:r>
        <w:rPr>
          <w:rFonts w:ascii="Bookman Old Style" w:hAnsi="Bookman Old Style"/>
        </w:rPr>
        <w:t xml:space="preserve"> consentimiento o conocimiento, y que el autor del acto quede impune, sin una severa sanción por parte de nuestro ordenamiento jurídico.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algunos países, este fenómeno delictual se conoce bajo la expresión “sumisión química”. Como lo expresa Francisco Javier </w:t>
      </w:r>
      <w:proofErr w:type="spellStart"/>
      <w:r>
        <w:rPr>
          <w:rFonts w:ascii="Bookman Old Style" w:hAnsi="Bookman Old Style"/>
        </w:rPr>
        <w:t>Nistal</w:t>
      </w:r>
      <w:proofErr w:type="spellEnd"/>
      <w:r>
        <w:rPr>
          <w:rFonts w:ascii="Bookman Old Style" w:hAnsi="Bookman Old Style"/>
        </w:rPr>
        <w:t>: “</w:t>
      </w:r>
      <w:r>
        <w:rPr>
          <w:rFonts w:ascii="Bookman Old Style" w:hAnsi="Bookman Old Style"/>
          <w:i/>
        </w:rPr>
        <w:t xml:space="preserve">La administración de sustancias psicoactivas a una persona, sin su conocimiento ni consentimiento, con fines delictivos es el fenómeno que se conoce como sumisión química. Es una forma de comisión de delitos que facilita la acción a los autores de los mismos, pues se imposibilita la defensa de la víctima, dado que su voluntad se ve disminuida o anulada. Este término de sumisión química (SQ), se empleó por primera vez en 1982 por Poyen, </w:t>
      </w:r>
      <w:proofErr w:type="spellStart"/>
      <w:r>
        <w:rPr>
          <w:rFonts w:ascii="Bookman Old Style" w:hAnsi="Bookman Old Style"/>
          <w:i/>
        </w:rPr>
        <w:t>Rodor</w:t>
      </w:r>
      <w:proofErr w:type="spellEnd"/>
      <w:r>
        <w:rPr>
          <w:rFonts w:ascii="Bookman Old Style" w:hAnsi="Bookman Old Style"/>
          <w:i/>
        </w:rPr>
        <w:t xml:space="preserve">, </w:t>
      </w:r>
      <w:proofErr w:type="spellStart"/>
      <w:r>
        <w:rPr>
          <w:rFonts w:ascii="Bookman Old Style" w:hAnsi="Bookman Old Style"/>
          <w:i/>
        </w:rPr>
        <w:t>Jouve</w:t>
      </w:r>
      <w:proofErr w:type="spellEnd"/>
      <w:r>
        <w:rPr>
          <w:rFonts w:ascii="Bookman Old Style" w:hAnsi="Bookman Old Style"/>
          <w:i/>
        </w:rPr>
        <w:t xml:space="preserve">, </w:t>
      </w:r>
      <w:proofErr w:type="spellStart"/>
      <w:r>
        <w:rPr>
          <w:rFonts w:ascii="Bookman Old Style" w:hAnsi="Bookman Old Style"/>
          <w:i/>
        </w:rPr>
        <w:t>Galland</w:t>
      </w:r>
      <w:proofErr w:type="spellEnd"/>
      <w:r>
        <w:rPr>
          <w:rFonts w:ascii="Bookman Old Style" w:hAnsi="Bookman Old Style"/>
          <w:i/>
        </w:rPr>
        <w:t xml:space="preserve">, </w:t>
      </w:r>
      <w:proofErr w:type="spellStart"/>
      <w:r>
        <w:rPr>
          <w:rFonts w:ascii="Bookman Old Style" w:hAnsi="Bookman Old Style"/>
          <w:i/>
        </w:rPr>
        <w:t>Lots</w:t>
      </w:r>
      <w:proofErr w:type="spellEnd"/>
      <w:r>
        <w:rPr>
          <w:rFonts w:ascii="Bookman Old Style" w:hAnsi="Bookman Old Style"/>
          <w:i/>
        </w:rPr>
        <w:t xml:space="preserve"> y </w:t>
      </w:r>
      <w:proofErr w:type="spellStart"/>
      <w:r>
        <w:rPr>
          <w:rFonts w:ascii="Bookman Old Style" w:hAnsi="Bookman Old Style"/>
          <w:i/>
        </w:rPr>
        <w:t>Jouglard</w:t>
      </w:r>
      <w:proofErr w:type="spellEnd"/>
      <w:r>
        <w:rPr>
          <w:rFonts w:ascii="Bookman Old Style" w:hAnsi="Bookman Old Style"/>
          <w:i/>
        </w:rPr>
        <w:t xml:space="preserve"> para referirse a la administración de un producto a una persona, sin su conocimiento, con el fin de provocar una modificación de su grado de vigilancia, de su estado de consciencia y de su capacidad de juicio</w:t>
      </w:r>
      <w:r>
        <w:rPr>
          <w:rFonts w:ascii="Bookman Old Style" w:hAnsi="Bookman Old Style"/>
        </w:rPr>
        <w:t>”</w:t>
      </w:r>
      <w:r>
        <w:rPr>
          <w:rStyle w:val="Refdenotaalpie"/>
          <w:rFonts w:ascii="Bookman Old Style" w:hAnsi="Bookman Old Style"/>
        </w:rPr>
        <w:footnoteReference w:id="3"/>
      </w:r>
      <w:r>
        <w:rPr>
          <w:rFonts w:ascii="Bookman Old Style" w:hAnsi="Bookman Old Style"/>
        </w:rPr>
        <w:t>.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i/>
        </w:rPr>
        <w:t xml:space="preserve">Existen muchas sustancias que se podrían utilizar como drogas de sumisión, todas aquellas que produzcan efectos anestésicos y/o analgésicos en el Sistema Nervioso, que al fin y al cabo, es el principal </w:t>
      </w:r>
      <w:r>
        <w:rPr>
          <w:rFonts w:ascii="Bookman Old Style" w:hAnsi="Bookman Old Style"/>
          <w:i/>
        </w:rPr>
        <w:lastRenderedPageBreak/>
        <w:t>objetivo de estos compuestos químicos. De estas sustancias hay cientos, aunque no todas ellas cumplen todos los requisitos que se consideran ideales para someter a la víctima sin que ésta lo detecte y lo evite</w:t>
      </w:r>
      <w:r>
        <w:rPr>
          <w:rFonts w:ascii="Bookman Old Style" w:hAnsi="Bookman Old Style"/>
        </w:rPr>
        <w:t>”</w:t>
      </w:r>
      <w:r>
        <w:rPr>
          <w:rStyle w:val="Refdenotaalpie"/>
          <w:rFonts w:ascii="Bookman Old Style" w:hAnsi="Bookman Old Style"/>
        </w:rPr>
        <w:footnoteReference w:id="4"/>
      </w:r>
      <w:r>
        <w:rPr>
          <w:rFonts w:ascii="Bookman Old Style" w:hAnsi="Bookman Old Style"/>
        </w:rPr>
        <w:t>.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B430D1" w:rsidRDefault="00B430D1">
      <w:pPr>
        <w:spacing w:line="360" w:lineRule="auto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 debe recordar que el artículo 19 n°1 de nuestra Constitución Política asegura a todas las personas el derecho a la vida y a la integridad física y psíquica. Suministrar una sustancia o droga </w:t>
      </w:r>
      <w:proofErr w:type="spellStart"/>
      <w:r>
        <w:rPr>
          <w:rFonts w:ascii="Bookman Old Style" w:hAnsi="Bookman Old Style"/>
        </w:rPr>
        <w:t>estupecaciente</w:t>
      </w:r>
      <w:proofErr w:type="spellEnd"/>
      <w:r>
        <w:rPr>
          <w:rFonts w:ascii="Bookman Old Style" w:hAnsi="Bookman Old Style"/>
        </w:rPr>
        <w:t xml:space="preserve"> o sicotrópica a otra persona, sin </w:t>
      </w:r>
      <w:r w:rsidR="00347217">
        <w:rPr>
          <w:rFonts w:ascii="Bookman Old Style" w:hAnsi="Bookman Old Style"/>
        </w:rPr>
        <w:t xml:space="preserve">su </w:t>
      </w:r>
      <w:r>
        <w:rPr>
          <w:rFonts w:ascii="Bookman Old Style" w:hAnsi="Bookman Old Style"/>
        </w:rPr>
        <w:t xml:space="preserve">consentimiento o conocimiento, atenta contra su dignidad humana, su libertad personal,  su facultad de autodeterminación, y puede comprometer gravemente su salud física y psíquica. 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B430D1" w:rsidRDefault="00B430D1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Nuestro país “</w:t>
      </w:r>
      <w:r>
        <w:rPr>
          <w:rFonts w:ascii="Bookman Old Style" w:hAnsi="Bookman Old Style"/>
          <w:i/>
        </w:rPr>
        <w:t>está viviendo un fenómeno muy grande que es la llegada de mezclas de sustancias y drogas que sí generan efectos de pérdida de memoria, pérdida de voluntad y que se usa con fines delictuales. Son las llamadas drogas de violación, drogas ilícitas modificadas muchas de ellas</w:t>
      </w:r>
      <w:r>
        <w:rPr>
          <w:rFonts w:ascii="Bookman Old Style" w:hAnsi="Bookman Old Style"/>
        </w:rPr>
        <w:t>”</w:t>
      </w:r>
      <w:r>
        <w:rPr>
          <w:rStyle w:val="Refdenotaalpie"/>
          <w:rFonts w:ascii="Bookman Old Style" w:hAnsi="Bookman Old Style"/>
        </w:rPr>
        <w:footnoteReference w:id="5"/>
      </w:r>
      <w:r>
        <w:rPr>
          <w:rFonts w:ascii="Bookman Old Style" w:hAnsi="Bookman Old Style"/>
        </w:rPr>
        <w:t>.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Una de las drogas más utilizadas por los delincuentes es la droga conocida como “</w:t>
      </w:r>
      <w:proofErr w:type="spellStart"/>
      <w:r>
        <w:rPr>
          <w:rFonts w:ascii="Bookman Old Style" w:hAnsi="Bookman Old Style"/>
        </w:rPr>
        <w:t>escopalamina</w:t>
      </w:r>
      <w:proofErr w:type="spellEnd"/>
      <w:r>
        <w:rPr>
          <w:rFonts w:ascii="Bookman Old Style" w:hAnsi="Bookman Old Style"/>
        </w:rPr>
        <w:t xml:space="preserve"> o “burundanga”. Varias denuncias de víctimas de esta droga han aparecido en los principales medios de comunicación criollos durante el último tiempo. </w:t>
      </w:r>
      <w:r>
        <w:rPr>
          <w:rFonts w:ascii="Bookman Old Style" w:hAnsi="Bookman Old Style"/>
        </w:rPr>
        <w:tab/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i/>
        </w:rPr>
        <w:t xml:space="preserve">La </w:t>
      </w:r>
      <w:proofErr w:type="spellStart"/>
      <w:r>
        <w:rPr>
          <w:rFonts w:ascii="Bookman Old Style" w:hAnsi="Bookman Old Style"/>
          <w:i/>
        </w:rPr>
        <w:t>escopolamina</w:t>
      </w:r>
      <w:proofErr w:type="spellEnd"/>
      <w:r>
        <w:rPr>
          <w:rFonts w:ascii="Bookman Old Style" w:hAnsi="Bookman Old Style"/>
          <w:i/>
        </w:rPr>
        <w:t xml:space="preserve"> es un alcaloide que se extrae de ciertas plantas como el Helenio, Chamico o el Floripondio y tiene ciertas propiedades alucinógenas y estimulantes. La presentación por lo general es un polvo blanco cristalino, de sabor muy amargo, y provoca sedación, o </w:t>
      </w:r>
      <w:r>
        <w:rPr>
          <w:rFonts w:ascii="Bookman Old Style" w:hAnsi="Bookman Old Style"/>
          <w:i/>
        </w:rPr>
        <w:lastRenderedPageBreak/>
        <w:t>una amnesia anterógrada, es decir la persona no recuerda lo que pasó previo al uso de la sustancia cuando se consume por vía oral, por ejemplo en bebidas, o en cápsulas</w:t>
      </w:r>
      <w:r>
        <w:rPr>
          <w:rFonts w:ascii="Bookman Old Style" w:hAnsi="Bookman Old Style"/>
        </w:rPr>
        <w:t>"</w:t>
      </w:r>
      <w:r>
        <w:rPr>
          <w:rStyle w:val="Refdenotaalpie"/>
          <w:rFonts w:ascii="Bookman Old Style" w:hAnsi="Bookman Old Style"/>
        </w:rPr>
        <w:footnoteReference w:id="6"/>
      </w:r>
      <w:r>
        <w:rPr>
          <w:rFonts w:ascii="Bookman Old Style" w:hAnsi="Bookman Old Style"/>
        </w:rPr>
        <w:t>.</w:t>
      </w:r>
    </w:p>
    <w:p w:rsidR="00773A51" w:rsidRDefault="00773A51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Además, esta clase de sustancias o drogas no solamente se suministran para cometer un delito posterior. También son utilizadas para vengarse, humillar o generar dependencia física y síquica </w:t>
      </w:r>
      <w:r w:rsidR="00347217">
        <w:rPr>
          <w:rFonts w:ascii="Bookman Old Style" w:hAnsi="Bookman Old Style"/>
        </w:rPr>
        <w:t>en</w:t>
      </w:r>
      <w:r>
        <w:rPr>
          <w:rFonts w:ascii="Bookman Old Style" w:hAnsi="Bookman Old Style"/>
        </w:rPr>
        <w:t xml:space="preserve"> otra persona, atentando gravemente contra su dignidad humana. Y en esos casos resulta difícil subsumir la conducta en otro delito ya existente y tipificado, quedando impune la conducta de su autor y de los </w:t>
      </w:r>
      <w:proofErr w:type="spellStart"/>
      <w:r>
        <w:rPr>
          <w:rFonts w:ascii="Bookman Old Style" w:hAnsi="Bookman Old Style"/>
        </w:rPr>
        <w:t>coparticipantes</w:t>
      </w:r>
      <w:proofErr w:type="spellEnd"/>
      <w:r>
        <w:rPr>
          <w:rFonts w:ascii="Bookman Old Style" w:hAnsi="Bookman Old Style"/>
        </w:rPr>
        <w:t>. Por tanto, se hace necesario tipificar este nuevo delito, pasando a formar parte de nuestro ordenamiento jurídico.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2.- Ideas Matrices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Suministrar una sustancia o droga estupefaciente o sicotrópica a una persona, sin su consentimiento o conocimiento, constituye un grave atentado contra su dignidad humana, contra su autonomía personal, contra su libertad de decisión y de autodeterminación. 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773A51" w:rsidRDefault="005801A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3.- Contenido del Proyecto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  <w:b/>
        </w:rPr>
      </w:pPr>
    </w:p>
    <w:p w:rsidR="00773A51" w:rsidRDefault="005801A7">
      <w:pPr>
        <w:spacing w:line="360" w:lineRule="auto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En particular, el proyecto de ley tiene por objetivo incorporar en </w:t>
      </w:r>
      <w:proofErr w:type="spellStart"/>
      <w:r>
        <w:rPr>
          <w:rFonts w:ascii="Bookman Old Style" w:hAnsi="Bookman Old Style"/>
        </w:rPr>
        <w:t>en</w:t>
      </w:r>
      <w:proofErr w:type="spellEnd"/>
      <w:r>
        <w:rPr>
          <w:rFonts w:ascii="Bookman Old Style" w:hAnsi="Bookman Old Style"/>
        </w:rPr>
        <w:t xml:space="preserve"> la Ley 20.000 el delito de suministración de sustancias o drogas estupefacientes o sicotrópicas a una persona, sin su consentimiento o conocimiento. Para ello se busca introducir un nuevo artículo 5 Bis en la Ley 20.000 que sanciona el tráfico ilícito de estupefacientes y sustancias sicotrópicas.</w:t>
      </w:r>
      <w:r>
        <w:rPr>
          <w:rFonts w:ascii="Bookman Old Style" w:hAnsi="Bookman Old Style"/>
          <w:highlight w:val="yellow"/>
        </w:rPr>
        <w:t xml:space="preserve"> </w:t>
      </w:r>
    </w:p>
    <w:p w:rsidR="00773A51" w:rsidRDefault="00773A51">
      <w:pPr>
        <w:tabs>
          <w:tab w:val="left" w:pos="709"/>
        </w:tabs>
        <w:spacing w:line="360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73A51" w:rsidRDefault="005801A7">
      <w:pPr>
        <w:tabs>
          <w:tab w:val="left" w:pos="709"/>
        </w:tabs>
        <w:spacing w:line="360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lastRenderedPageBreak/>
        <w:t>Por consiguiente, y con el mérito de los antecedentes expuestos, vengo en someter a la consideración de ésta Honorable Corporación, el siguiente Proyecto de Ley:</w:t>
      </w:r>
    </w:p>
    <w:p w:rsidR="00773A51" w:rsidRDefault="00773A51">
      <w:pPr>
        <w:tabs>
          <w:tab w:val="left" w:pos="709"/>
        </w:tabs>
        <w:spacing w:line="360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73A51" w:rsidRDefault="005801A7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Proyecto de Ley</w:t>
      </w:r>
    </w:p>
    <w:p w:rsidR="00773A51" w:rsidRDefault="00773A51">
      <w:pPr>
        <w:spacing w:line="360" w:lineRule="auto"/>
        <w:jc w:val="center"/>
        <w:rPr>
          <w:rFonts w:ascii="Bookman Old Style" w:hAnsi="Bookman Old Style"/>
          <w:b/>
        </w:rPr>
      </w:pPr>
    </w:p>
    <w:p w:rsidR="00773A51" w:rsidRDefault="0034721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ARTÍCULO ÚNICO</w:t>
      </w:r>
      <w:r w:rsidR="005801A7">
        <w:rPr>
          <w:rFonts w:ascii="Bookman Old Style" w:hAnsi="Bookman Old Style"/>
          <w:b/>
        </w:rPr>
        <w:t>:</w:t>
      </w:r>
      <w:r w:rsidR="005801A7">
        <w:rPr>
          <w:rFonts w:ascii="Bookman Old Style" w:hAnsi="Bookman Old Style"/>
        </w:rPr>
        <w:t xml:space="preserve"> Introdúzcanse la siguiente modificación a la Ley 20.000 que sanciona el tráfico ilícito de estupefacientes y sustancias sicotrópicas:</w:t>
      </w:r>
    </w:p>
    <w:p w:rsidR="00773A51" w:rsidRDefault="00773A51">
      <w:pPr>
        <w:spacing w:line="360" w:lineRule="auto"/>
        <w:jc w:val="both"/>
        <w:rPr>
          <w:rFonts w:ascii="Bookman Old Style" w:hAnsi="Bookman Old Style"/>
        </w:rPr>
      </w:pPr>
    </w:p>
    <w:p w:rsidR="00773A51" w:rsidRPr="00FF1956" w:rsidRDefault="005801A7">
      <w:pPr>
        <w:pStyle w:val="Prrafodelista"/>
        <w:numPr>
          <w:ilvl w:val="0"/>
          <w:numId w:val="11"/>
        </w:numPr>
        <w:spacing w:line="360" w:lineRule="auto"/>
        <w:ind w:left="795" w:hanging="360"/>
        <w:jc w:val="both"/>
        <w:rPr>
          <w:rFonts w:ascii="Bookman Old Style" w:hAnsi="Bookman Old Style"/>
          <w:i/>
          <w:lang w:val="es-CL"/>
        </w:rPr>
      </w:pPr>
      <w:proofErr w:type="spellStart"/>
      <w:r>
        <w:rPr>
          <w:rFonts w:ascii="Bookman Old Style" w:hAnsi="Bookman Old Style"/>
        </w:rPr>
        <w:t>Agrégase</w:t>
      </w:r>
      <w:proofErr w:type="spellEnd"/>
      <w:r>
        <w:rPr>
          <w:rFonts w:ascii="Bookman Old Style" w:hAnsi="Bookman Old Style"/>
        </w:rPr>
        <w:t xml:space="preserve"> un nuevo artículo 5 Bis del siguiente tenor: “</w:t>
      </w:r>
      <w:r>
        <w:rPr>
          <w:rFonts w:ascii="Bookman Old Style" w:hAnsi="Bookman Old Style"/>
          <w:i/>
        </w:rPr>
        <w:t xml:space="preserve">El que suministre a una persona, sin su consentimiento o conocimiento, alguna de las sustancias o drogas estupefacientes o sicotrópicas </w:t>
      </w:r>
      <w:proofErr w:type="spellStart"/>
      <w:r>
        <w:rPr>
          <w:rFonts w:ascii="Bookman Old Style" w:hAnsi="Bookman Old Style"/>
          <w:i/>
        </w:rPr>
        <w:t>mecionados</w:t>
      </w:r>
      <w:proofErr w:type="spellEnd"/>
      <w:r>
        <w:rPr>
          <w:rFonts w:ascii="Bookman Old Style" w:hAnsi="Bookman Old Style"/>
          <w:i/>
        </w:rPr>
        <w:t xml:space="preserve"> en el primer y segundo inciso del artículo 1° de esta Ley, </w:t>
      </w:r>
      <w:r w:rsidR="00C74F56">
        <w:rPr>
          <w:rFonts w:ascii="Bookman Old Style" w:hAnsi="Bookman Old Style"/>
          <w:i/>
        </w:rPr>
        <w:t xml:space="preserve">cualquiera sea la forma en que ingrese al organismo de la víctima, </w:t>
      </w:r>
      <w:r>
        <w:rPr>
          <w:rFonts w:ascii="Bookman Old Style" w:hAnsi="Bookman Old Style"/>
          <w:i/>
        </w:rPr>
        <w:t>será sancionado con la pena de presidio menor en sus grados medio a máximo y multa de cien a cuatrocientas unidades tributarias mensuales</w:t>
      </w:r>
      <w:r>
        <w:rPr>
          <w:rFonts w:ascii="Bookman Old Style" w:hAnsi="Bookman Old Style"/>
        </w:rPr>
        <w:t xml:space="preserve">”. </w:t>
      </w:r>
    </w:p>
    <w:p w:rsidR="00FF1956" w:rsidRDefault="00FF1956" w:rsidP="00FF1956">
      <w:pPr>
        <w:spacing w:line="360" w:lineRule="auto"/>
        <w:jc w:val="both"/>
        <w:rPr>
          <w:rFonts w:ascii="Bookman Old Style" w:hAnsi="Bookman Old Style"/>
          <w:i/>
          <w:lang w:val="es-CL"/>
        </w:rPr>
      </w:pPr>
    </w:p>
    <w:p w:rsidR="00FF1956" w:rsidRPr="00FF1956" w:rsidRDefault="00FF1956" w:rsidP="00FF1956">
      <w:pPr>
        <w:spacing w:line="360" w:lineRule="auto"/>
        <w:jc w:val="both"/>
        <w:rPr>
          <w:rFonts w:ascii="Bookman Old Style" w:hAnsi="Bookman Old Style"/>
          <w:i/>
          <w:lang w:val="es-CL"/>
        </w:rPr>
      </w:pPr>
    </w:p>
    <w:p w:rsidR="00773A51" w:rsidRDefault="00773A51">
      <w:pPr>
        <w:tabs>
          <w:tab w:val="left" w:pos="6716"/>
        </w:tabs>
        <w:spacing w:line="360" w:lineRule="auto"/>
        <w:jc w:val="both"/>
        <w:rPr>
          <w:rFonts w:ascii="Bookman Old Style" w:hAnsi="Bookman Old Style"/>
          <w:lang w:val="es-CL"/>
        </w:rPr>
      </w:pPr>
    </w:p>
    <w:p w:rsidR="00773A51" w:rsidRDefault="00FF1956" w:rsidP="00FF1956">
      <w:pPr>
        <w:tabs>
          <w:tab w:val="left" w:pos="6716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F1956" w:rsidRDefault="00FF1956" w:rsidP="00FF1956">
      <w:pPr>
        <w:spacing w:line="276" w:lineRule="auto"/>
        <w:rPr>
          <w:rFonts w:ascii="Bookman Old Style" w:hAnsi="Bookman Old Style"/>
        </w:rPr>
      </w:pPr>
    </w:p>
    <w:p w:rsidR="00773A51" w:rsidRDefault="005801A7" w:rsidP="00FF1956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Cristóbal Urruticoechea</w:t>
      </w:r>
      <w:r w:rsidR="00FF1956">
        <w:rPr>
          <w:rFonts w:ascii="Bookman Old Style" w:hAnsi="Bookman Old Style"/>
          <w:b/>
        </w:rPr>
        <w:t xml:space="preserve"> Ríos                    Diego Schalper Sepúlveda</w:t>
      </w:r>
    </w:p>
    <w:p w:rsidR="00FF1956" w:rsidRDefault="00FF1956" w:rsidP="00FF1956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5801A7">
        <w:rPr>
          <w:rFonts w:ascii="Bookman Old Style" w:hAnsi="Bookman Old Style"/>
          <w:b/>
        </w:rPr>
        <w:t>Diputado de la República</w:t>
      </w:r>
      <w:r>
        <w:rPr>
          <w:rFonts w:ascii="Bookman Old Style" w:hAnsi="Bookman Old Style"/>
          <w:b/>
        </w:rPr>
        <w:t xml:space="preserve">                       Diputado de la República</w:t>
      </w:r>
    </w:p>
    <w:p w:rsidR="00773A51" w:rsidRDefault="00773A51" w:rsidP="00FF1956">
      <w:pPr>
        <w:spacing w:line="276" w:lineRule="auto"/>
        <w:rPr>
          <w:rFonts w:ascii="Bookman Old Style" w:hAnsi="Bookman Old Style"/>
          <w:b/>
        </w:rPr>
      </w:pPr>
    </w:p>
    <w:p w:rsidR="00773A51" w:rsidRDefault="00773A51">
      <w:pPr>
        <w:spacing w:line="360" w:lineRule="auto"/>
        <w:jc w:val="center"/>
        <w:rPr>
          <w:rFonts w:ascii="Bookman Old Style" w:hAnsi="Bookman Old Style"/>
          <w:b/>
        </w:rPr>
      </w:pPr>
    </w:p>
    <w:p w:rsidR="00773A51" w:rsidRDefault="00773A51">
      <w:pPr>
        <w:tabs>
          <w:tab w:val="left" w:pos="3084"/>
        </w:tabs>
        <w:spacing w:line="360" w:lineRule="auto"/>
        <w:rPr>
          <w:rFonts w:ascii="Bookman Old Style" w:hAnsi="Bookman Old Style"/>
        </w:rPr>
      </w:pPr>
    </w:p>
    <w:sectPr w:rsidR="00773A51" w:rsidSect="00B430D1">
      <w:headerReference w:type="default" r:id="rId7"/>
      <w:footerReference w:type="default" r:id="rId8"/>
      <w:endnotePr>
        <w:numFmt w:val="decimal"/>
      </w:endnotePr>
      <w:pgSz w:w="11907" w:h="16839"/>
      <w:pgMar w:top="1417" w:right="1701" w:bottom="198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22" w:rsidRDefault="00FF7722">
      <w:r>
        <w:separator/>
      </w:r>
    </w:p>
  </w:endnote>
  <w:endnote w:type="continuationSeparator" w:id="0">
    <w:p w:rsidR="00FF7722" w:rsidRDefault="00F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1" w:rsidRDefault="00773A51">
    <w:pPr>
      <w:spacing w:line="276" w:lineRule="auto"/>
      <w:jc w:val="center"/>
      <w:rPr>
        <w:rFonts w:ascii="Bookman Old Style" w:hAnsi="Bookman Old Style"/>
        <w:b/>
        <w:sz w:val="20"/>
        <w:lang w:val="es-CL"/>
      </w:rPr>
    </w:pPr>
  </w:p>
  <w:p w:rsidR="00773A51" w:rsidRDefault="00773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22" w:rsidRDefault="00FF7722">
      <w:r>
        <w:separator/>
      </w:r>
    </w:p>
  </w:footnote>
  <w:footnote w:type="continuationSeparator" w:id="0">
    <w:p w:rsidR="00FF7722" w:rsidRDefault="00FF7722">
      <w:r>
        <w:continuationSeparator/>
      </w:r>
    </w:p>
  </w:footnote>
  <w:footnote w:id="1">
    <w:p w:rsidR="00773A51" w:rsidRDefault="005801A7">
      <w:pPr>
        <w:pStyle w:val="Textonotapie"/>
        <w:jc w:val="both"/>
        <w:rPr>
          <w:rFonts w:ascii="Bookman Old Style" w:hAnsi="Bookman Old Style"/>
          <w:sz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man Old Style" w:hAnsi="Bookman Old Style"/>
          <w:sz w:val="22"/>
        </w:rPr>
        <w:t xml:space="preserve">CURY URZÚA, Enrique, </w:t>
      </w:r>
      <w:r>
        <w:rPr>
          <w:rFonts w:ascii="Bookman Old Style" w:hAnsi="Bookman Old Style"/>
          <w:i/>
          <w:iCs/>
          <w:sz w:val="22"/>
        </w:rPr>
        <w:t>Derecho Penal, Parte General, Tomo I</w:t>
      </w:r>
      <w:r>
        <w:rPr>
          <w:rFonts w:ascii="Bookman Old Style" w:hAnsi="Bookman Old Style"/>
          <w:sz w:val="22"/>
        </w:rPr>
        <w:t xml:space="preserve"> (Santiago, Editorial Jurídica de Chile, 1992, 2</w:t>
      </w:r>
      <w:r>
        <w:rPr>
          <w:rFonts w:ascii="Bookman Old Style" w:hAnsi="Bookman Old Style"/>
          <w:sz w:val="22"/>
          <w:vertAlign w:val="superscript"/>
        </w:rPr>
        <w:t>da</w:t>
      </w:r>
      <w:r>
        <w:rPr>
          <w:rFonts w:ascii="Bookman Old Style" w:hAnsi="Bookman Old Style"/>
          <w:sz w:val="22"/>
        </w:rPr>
        <w:t xml:space="preserve"> edición), página 4.</w:t>
      </w:r>
    </w:p>
  </w:footnote>
  <w:footnote w:id="2">
    <w:p w:rsidR="00773A51" w:rsidRDefault="005801A7">
      <w:pPr>
        <w:pStyle w:val="Textonotapie"/>
        <w:rPr>
          <w:rFonts w:ascii="Bookman Old Style" w:hAnsi="Bookman Old Style"/>
          <w:sz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man Old Style" w:hAnsi="Bookman Old Style"/>
          <w:i/>
          <w:iCs/>
          <w:sz w:val="22"/>
        </w:rPr>
        <w:t>Ibídem</w:t>
      </w:r>
      <w:r>
        <w:rPr>
          <w:rFonts w:ascii="Bookman Old Style" w:hAnsi="Bookman Old Style"/>
          <w:sz w:val="22"/>
        </w:rPr>
        <w:t xml:space="preserve">, páginas 54 y 55.  </w:t>
      </w:r>
    </w:p>
  </w:footnote>
  <w:footnote w:id="3">
    <w:p w:rsidR="00773A51" w:rsidRDefault="005801A7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  <w:rFonts w:ascii="Bookman Old Style" w:hAnsi="Bookman Old Style"/>
            <w:sz w:val="22"/>
          </w:rPr>
          <w:t>http://cj-worldnews.com/spain/index.php/en/item/2994-las-victimas-por-sumision-quimica-el-crimen-perfecto</w:t>
        </w:r>
      </w:hyperlink>
      <w:r>
        <w:rPr>
          <w:lang w:val="es-CL"/>
        </w:rPr>
        <w:t xml:space="preserve"> </w:t>
      </w:r>
    </w:p>
  </w:footnote>
  <w:footnote w:id="4">
    <w:p w:rsidR="00773A51" w:rsidRDefault="005801A7">
      <w:pPr>
        <w:pStyle w:val="Textonotapie"/>
        <w:spacing w:line="276" w:lineRule="auto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man Old Style" w:hAnsi="Bookman Old Style"/>
          <w:i/>
          <w:sz w:val="22"/>
          <w:lang w:val="es-CL"/>
        </w:rPr>
        <w:t>Ibídem.</w:t>
      </w:r>
      <w:r>
        <w:rPr>
          <w:sz w:val="22"/>
          <w:lang w:val="es-CL"/>
        </w:rPr>
        <w:t xml:space="preserve"> </w:t>
      </w:r>
    </w:p>
  </w:footnote>
  <w:footnote w:id="5">
    <w:p w:rsidR="00773A51" w:rsidRDefault="005801A7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man Old Style" w:hAnsi="Bookman Old Style"/>
          <w:sz w:val="22"/>
        </w:rPr>
        <w:t>https://www.cnnchile.com/pais/las-reacciones-tras-el-video-publicado-por-nicolas-lopez_20180703/</w:t>
      </w:r>
    </w:p>
  </w:footnote>
  <w:footnote w:id="6">
    <w:p w:rsidR="00773A51" w:rsidRDefault="005801A7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man Old Style" w:hAnsi="Bookman Old Style"/>
          <w:sz w:val="22"/>
        </w:rPr>
        <w:t>http://www.latercera.com/nacional/noticia/asi-la-burundanga-la-droga-provoca-sedacion-amnesia/211874/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1" w:rsidRDefault="00773A51">
    <w:pPr>
      <w:pStyle w:val="Encabezado"/>
      <w:jc w:val="center"/>
      <w:rPr>
        <w:sz w:val="22"/>
      </w:rPr>
    </w:pPr>
  </w:p>
  <w:p w:rsidR="00773A51" w:rsidRDefault="00773A51">
    <w:pPr>
      <w:pStyle w:val="Encabezado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286F"/>
    <w:multiLevelType w:val="hybridMultilevel"/>
    <w:tmpl w:val="DD70CC8E"/>
    <w:name w:val="Lista numerada 2"/>
    <w:lvl w:ilvl="0" w:tplc="1B783A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18E98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33A59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8763EB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3647A9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75C8E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FA64D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E001F8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E3C84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C1B3CBD"/>
    <w:multiLevelType w:val="hybridMultilevel"/>
    <w:tmpl w:val="DDA47C80"/>
    <w:name w:val="Lista numerada 9"/>
    <w:lvl w:ilvl="0" w:tplc="9EA010B4">
      <w:start w:val="5"/>
      <w:numFmt w:val="decimal"/>
      <w:lvlText w:val="%1."/>
      <w:lvlJc w:val="left"/>
      <w:pPr>
        <w:ind w:left="1080" w:firstLine="0"/>
      </w:pPr>
      <w:rPr>
        <w:u w:val="none"/>
      </w:rPr>
    </w:lvl>
    <w:lvl w:ilvl="1" w:tplc="27541750">
      <w:start w:val="1"/>
      <w:numFmt w:val="lowerLetter"/>
      <w:lvlText w:val="%2."/>
      <w:lvlJc w:val="left"/>
      <w:pPr>
        <w:ind w:left="2520" w:firstLine="0"/>
      </w:pPr>
      <w:rPr>
        <w:u w:val="none"/>
      </w:rPr>
    </w:lvl>
    <w:lvl w:ilvl="2" w:tplc="A526543E">
      <w:start w:val="1"/>
      <w:numFmt w:val="lowerRoman"/>
      <w:lvlText w:val="%3."/>
      <w:lvlJc w:val="left"/>
      <w:pPr>
        <w:ind w:left="3960" w:firstLine="0"/>
      </w:pPr>
      <w:rPr>
        <w:u w:val="none"/>
      </w:rPr>
    </w:lvl>
    <w:lvl w:ilvl="3" w:tplc="4E466CB8">
      <w:start w:val="1"/>
      <w:numFmt w:val="decimal"/>
      <w:lvlText w:val="%4."/>
      <w:lvlJc w:val="left"/>
      <w:pPr>
        <w:ind w:left="5400" w:firstLine="0"/>
      </w:pPr>
      <w:rPr>
        <w:u w:val="none"/>
      </w:rPr>
    </w:lvl>
    <w:lvl w:ilvl="4" w:tplc="5EFC5754">
      <w:start w:val="1"/>
      <w:numFmt w:val="lowerLetter"/>
      <w:lvlText w:val="%5."/>
      <w:lvlJc w:val="left"/>
      <w:pPr>
        <w:ind w:left="6840" w:firstLine="0"/>
      </w:pPr>
      <w:rPr>
        <w:u w:val="none"/>
      </w:rPr>
    </w:lvl>
    <w:lvl w:ilvl="5" w:tplc="A23EBA8C">
      <w:start w:val="1"/>
      <w:numFmt w:val="lowerRoman"/>
      <w:lvlText w:val="%6."/>
      <w:lvlJc w:val="left"/>
      <w:pPr>
        <w:ind w:left="8280" w:firstLine="0"/>
      </w:pPr>
      <w:rPr>
        <w:u w:val="none"/>
      </w:rPr>
    </w:lvl>
    <w:lvl w:ilvl="6" w:tplc="031C9450">
      <w:start w:val="1"/>
      <w:numFmt w:val="decimal"/>
      <w:lvlText w:val="%7."/>
      <w:lvlJc w:val="left"/>
      <w:pPr>
        <w:ind w:left="9720" w:firstLine="0"/>
      </w:pPr>
      <w:rPr>
        <w:u w:val="none"/>
      </w:rPr>
    </w:lvl>
    <w:lvl w:ilvl="7" w:tplc="4344DE0E">
      <w:start w:val="1"/>
      <w:numFmt w:val="lowerLetter"/>
      <w:lvlText w:val="%8."/>
      <w:lvlJc w:val="left"/>
      <w:pPr>
        <w:ind w:left="11160" w:firstLine="0"/>
      </w:pPr>
      <w:rPr>
        <w:u w:val="none"/>
      </w:rPr>
    </w:lvl>
    <w:lvl w:ilvl="8" w:tplc="7C566B74">
      <w:start w:val="1"/>
      <w:numFmt w:val="lowerRoman"/>
      <w:lvlText w:val="%9."/>
      <w:lvlJc w:val="left"/>
      <w:pPr>
        <w:ind w:left="12600" w:firstLine="0"/>
      </w:pPr>
      <w:rPr>
        <w:u w:val="none"/>
      </w:rPr>
    </w:lvl>
  </w:abstractNum>
  <w:abstractNum w:abstractNumId="2" w15:restartNumberingAfterBreak="0">
    <w:nsid w:val="3F6955EF"/>
    <w:multiLevelType w:val="hybridMultilevel"/>
    <w:tmpl w:val="E2AC7114"/>
    <w:name w:val="Lista numerada 5"/>
    <w:lvl w:ilvl="0" w:tplc="A32A2A0A">
      <w:start w:val="1"/>
      <w:numFmt w:val="upperRoman"/>
      <w:lvlText w:val="%1."/>
      <w:lvlJc w:val="left"/>
      <w:pPr>
        <w:ind w:left="360" w:firstLine="0"/>
      </w:pPr>
    </w:lvl>
    <w:lvl w:ilvl="1" w:tplc="2F3ECF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8F82E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E263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6500C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4081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6A878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34020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A70AE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4A6F4586"/>
    <w:multiLevelType w:val="hybridMultilevel"/>
    <w:tmpl w:val="F6B07CA0"/>
    <w:name w:val="Lista numerada 7"/>
    <w:lvl w:ilvl="0" w:tplc="8772A0F0">
      <w:start w:val="1"/>
      <w:numFmt w:val="decimal"/>
      <w:lvlText w:val="%1)"/>
      <w:lvlJc w:val="left"/>
      <w:pPr>
        <w:ind w:left="708" w:firstLine="0"/>
      </w:pPr>
    </w:lvl>
    <w:lvl w:ilvl="1" w:tplc="C4A20EAE">
      <w:start w:val="1"/>
      <w:numFmt w:val="lowerLetter"/>
      <w:lvlText w:val="%2."/>
      <w:lvlJc w:val="left"/>
      <w:pPr>
        <w:ind w:left="1428" w:firstLine="0"/>
      </w:pPr>
    </w:lvl>
    <w:lvl w:ilvl="2" w:tplc="81D420A8">
      <w:start w:val="1"/>
      <w:numFmt w:val="lowerRoman"/>
      <w:lvlText w:val="%3."/>
      <w:lvlJc w:val="left"/>
      <w:pPr>
        <w:ind w:left="2328" w:firstLine="0"/>
      </w:pPr>
    </w:lvl>
    <w:lvl w:ilvl="3" w:tplc="2C1453E8">
      <w:start w:val="1"/>
      <w:numFmt w:val="decimal"/>
      <w:lvlText w:val="%4."/>
      <w:lvlJc w:val="left"/>
      <w:pPr>
        <w:ind w:left="2868" w:firstLine="0"/>
      </w:pPr>
    </w:lvl>
    <w:lvl w:ilvl="4" w:tplc="52D08B9A">
      <w:start w:val="1"/>
      <w:numFmt w:val="lowerLetter"/>
      <w:lvlText w:val="%5."/>
      <w:lvlJc w:val="left"/>
      <w:pPr>
        <w:ind w:left="3588" w:firstLine="0"/>
      </w:pPr>
    </w:lvl>
    <w:lvl w:ilvl="5" w:tplc="F5B6F118">
      <w:start w:val="1"/>
      <w:numFmt w:val="lowerRoman"/>
      <w:lvlText w:val="%6."/>
      <w:lvlJc w:val="left"/>
      <w:pPr>
        <w:ind w:left="4488" w:firstLine="0"/>
      </w:pPr>
    </w:lvl>
    <w:lvl w:ilvl="6" w:tplc="E15E7DF0">
      <w:start w:val="1"/>
      <w:numFmt w:val="decimal"/>
      <w:lvlText w:val="%7."/>
      <w:lvlJc w:val="left"/>
      <w:pPr>
        <w:ind w:left="5028" w:firstLine="0"/>
      </w:pPr>
    </w:lvl>
    <w:lvl w:ilvl="7" w:tplc="D584BD02">
      <w:start w:val="1"/>
      <w:numFmt w:val="lowerLetter"/>
      <w:lvlText w:val="%8."/>
      <w:lvlJc w:val="left"/>
      <w:pPr>
        <w:ind w:left="5748" w:firstLine="0"/>
      </w:pPr>
    </w:lvl>
    <w:lvl w:ilvl="8" w:tplc="7A045422">
      <w:start w:val="1"/>
      <w:numFmt w:val="lowerRoman"/>
      <w:lvlText w:val="%9."/>
      <w:lvlJc w:val="left"/>
      <w:pPr>
        <w:ind w:left="6648" w:firstLine="0"/>
      </w:pPr>
    </w:lvl>
  </w:abstractNum>
  <w:abstractNum w:abstractNumId="4" w15:restartNumberingAfterBreak="0">
    <w:nsid w:val="4FFD6405"/>
    <w:multiLevelType w:val="hybridMultilevel"/>
    <w:tmpl w:val="A8680832"/>
    <w:name w:val="Lista numerada 4"/>
    <w:lvl w:ilvl="0" w:tplc="AF468D26">
      <w:start w:val="1"/>
      <w:numFmt w:val="decimal"/>
      <w:lvlText w:val="%1."/>
      <w:lvlJc w:val="left"/>
      <w:pPr>
        <w:ind w:left="360" w:firstLine="0"/>
      </w:pPr>
    </w:lvl>
    <w:lvl w:ilvl="1" w:tplc="84D67C86">
      <w:start w:val="1"/>
      <w:numFmt w:val="lowerLetter"/>
      <w:lvlText w:val="%2."/>
      <w:lvlJc w:val="left"/>
      <w:pPr>
        <w:ind w:left="1080" w:firstLine="0"/>
      </w:pPr>
    </w:lvl>
    <w:lvl w:ilvl="2" w:tplc="BC8E2E0A">
      <w:start w:val="1"/>
      <w:numFmt w:val="lowerRoman"/>
      <w:lvlText w:val="%3."/>
      <w:lvlJc w:val="left"/>
      <w:pPr>
        <w:ind w:left="1980" w:firstLine="0"/>
      </w:pPr>
    </w:lvl>
    <w:lvl w:ilvl="3" w:tplc="B3CC0F08">
      <w:start w:val="1"/>
      <w:numFmt w:val="decimal"/>
      <w:lvlText w:val="%4."/>
      <w:lvlJc w:val="left"/>
      <w:pPr>
        <w:ind w:left="2520" w:firstLine="0"/>
      </w:pPr>
    </w:lvl>
    <w:lvl w:ilvl="4" w:tplc="002CD918">
      <w:start w:val="1"/>
      <w:numFmt w:val="lowerLetter"/>
      <w:lvlText w:val="%5."/>
      <w:lvlJc w:val="left"/>
      <w:pPr>
        <w:ind w:left="3240" w:firstLine="0"/>
      </w:pPr>
    </w:lvl>
    <w:lvl w:ilvl="5" w:tplc="0BFE4C70">
      <w:start w:val="1"/>
      <w:numFmt w:val="lowerRoman"/>
      <w:lvlText w:val="%6."/>
      <w:lvlJc w:val="left"/>
      <w:pPr>
        <w:ind w:left="4140" w:firstLine="0"/>
      </w:pPr>
    </w:lvl>
    <w:lvl w:ilvl="6" w:tplc="BE2C221C">
      <w:start w:val="1"/>
      <w:numFmt w:val="decimal"/>
      <w:lvlText w:val="%7."/>
      <w:lvlJc w:val="left"/>
      <w:pPr>
        <w:ind w:left="4680" w:firstLine="0"/>
      </w:pPr>
    </w:lvl>
    <w:lvl w:ilvl="7" w:tplc="0B24D086">
      <w:start w:val="1"/>
      <w:numFmt w:val="lowerLetter"/>
      <w:lvlText w:val="%8."/>
      <w:lvlJc w:val="left"/>
      <w:pPr>
        <w:ind w:left="5400" w:firstLine="0"/>
      </w:pPr>
    </w:lvl>
    <w:lvl w:ilvl="8" w:tplc="205CEE1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51A57777"/>
    <w:multiLevelType w:val="hybridMultilevel"/>
    <w:tmpl w:val="AF4A5A1C"/>
    <w:name w:val="Lista numerada 6"/>
    <w:lvl w:ilvl="0" w:tplc="65FE3C78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5114CB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7C39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30422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51ECF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0A611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02C9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7469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498A6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D2175A9"/>
    <w:multiLevelType w:val="hybridMultilevel"/>
    <w:tmpl w:val="6C8A62EC"/>
    <w:lvl w:ilvl="0" w:tplc="5B3EB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22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2A72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E24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4042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E6D1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14E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7CE30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4EC18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D25DAB"/>
    <w:multiLevelType w:val="hybridMultilevel"/>
    <w:tmpl w:val="87A8A716"/>
    <w:name w:val="Lista numerada 10"/>
    <w:lvl w:ilvl="0" w:tplc="7122AE06">
      <w:start w:val="1"/>
      <w:numFmt w:val="decimal"/>
      <w:lvlText w:val="%1)"/>
      <w:lvlJc w:val="left"/>
      <w:pPr>
        <w:ind w:left="360" w:firstLine="0"/>
      </w:pPr>
    </w:lvl>
    <w:lvl w:ilvl="1" w:tplc="AD5AC6D6">
      <w:start w:val="1"/>
      <w:numFmt w:val="lowerLetter"/>
      <w:lvlText w:val="%2."/>
      <w:lvlJc w:val="left"/>
      <w:pPr>
        <w:ind w:left="1080" w:firstLine="0"/>
      </w:pPr>
    </w:lvl>
    <w:lvl w:ilvl="2" w:tplc="9460B468">
      <w:start w:val="1"/>
      <w:numFmt w:val="lowerRoman"/>
      <w:lvlText w:val="%3."/>
      <w:lvlJc w:val="left"/>
      <w:pPr>
        <w:ind w:left="1980" w:firstLine="0"/>
      </w:pPr>
    </w:lvl>
    <w:lvl w:ilvl="3" w:tplc="67B60D12">
      <w:start w:val="1"/>
      <w:numFmt w:val="decimal"/>
      <w:lvlText w:val="%4."/>
      <w:lvlJc w:val="left"/>
      <w:pPr>
        <w:ind w:left="2520" w:firstLine="0"/>
      </w:pPr>
    </w:lvl>
    <w:lvl w:ilvl="4" w:tplc="AEF8FEF4">
      <w:start w:val="1"/>
      <w:numFmt w:val="lowerLetter"/>
      <w:lvlText w:val="%5."/>
      <w:lvlJc w:val="left"/>
      <w:pPr>
        <w:ind w:left="3240" w:firstLine="0"/>
      </w:pPr>
    </w:lvl>
    <w:lvl w:ilvl="5" w:tplc="99606D7E">
      <w:start w:val="1"/>
      <w:numFmt w:val="lowerRoman"/>
      <w:lvlText w:val="%6."/>
      <w:lvlJc w:val="left"/>
      <w:pPr>
        <w:ind w:left="4140" w:firstLine="0"/>
      </w:pPr>
    </w:lvl>
    <w:lvl w:ilvl="6" w:tplc="1D9A1258">
      <w:start w:val="1"/>
      <w:numFmt w:val="decimal"/>
      <w:lvlText w:val="%7."/>
      <w:lvlJc w:val="left"/>
      <w:pPr>
        <w:ind w:left="4680" w:firstLine="0"/>
      </w:pPr>
    </w:lvl>
    <w:lvl w:ilvl="7" w:tplc="FA96D7EA">
      <w:start w:val="1"/>
      <w:numFmt w:val="lowerLetter"/>
      <w:lvlText w:val="%8."/>
      <w:lvlJc w:val="left"/>
      <w:pPr>
        <w:ind w:left="5400" w:firstLine="0"/>
      </w:pPr>
    </w:lvl>
    <w:lvl w:ilvl="8" w:tplc="A58688A0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60086BD9"/>
    <w:multiLevelType w:val="hybridMultilevel"/>
    <w:tmpl w:val="83DE4F3A"/>
    <w:name w:val="Lista numerada 3"/>
    <w:lvl w:ilvl="0" w:tplc="C21AFDAC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723CCE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840FB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78F7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8AFDA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98A73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6A695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0EF3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E2422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B0533D0"/>
    <w:multiLevelType w:val="hybridMultilevel"/>
    <w:tmpl w:val="004251EC"/>
    <w:name w:val="Lista numerada 8"/>
    <w:lvl w:ilvl="0" w:tplc="3D123590">
      <w:start w:val="1"/>
      <w:numFmt w:val="decimal"/>
      <w:lvlText w:val="%1."/>
      <w:lvlJc w:val="left"/>
      <w:pPr>
        <w:ind w:left="1080" w:firstLine="0"/>
      </w:pPr>
      <w:rPr>
        <w:u w:val="none"/>
      </w:rPr>
    </w:lvl>
    <w:lvl w:ilvl="1" w:tplc="667ACAC6">
      <w:start w:val="1"/>
      <w:numFmt w:val="lowerLetter"/>
      <w:lvlText w:val="%2."/>
      <w:lvlJc w:val="left"/>
      <w:pPr>
        <w:ind w:left="2520" w:firstLine="0"/>
      </w:pPr>
      <w:rPr>
        <w:u w:val="none"/>
      </w:rPr>
    </w:lvl>
    <w:lvl w:ilvl="2" w:tplc="B7C6A718">
      <w:start w:val="1"/>
      <w:numFmt w:val="lowerRoman"/>
      <w:lvlText w:val="%3."/>
      <w:lvlJc w:val="left"/>
      <w:pPr>
        <w:ind w:left="3960" w:firstLine="0"/>
      </w:pPr>
      <w:rPr>
        <w:u w:val="none"/>
      </w:rPr>
    </w:lvl>
    <w:lvl w:ilvl="3" w:tplc="F2BA65E2">
      <w:start w:val="1"/>
      <w:numFmt w:val="decimal"/>
      <w:lvlText w:val="%4."/>
      <w:lvlJc w:val="left"/>
      <w:pPr>
        <w:ind w:left="5400" w:firstLine="0"/>
      </w:pPr>
      <w:rPr>
        <w:u w:val="none"/>
      </w:rPr>
    </w:lvl>
    <w:lvl w:ilvl="4" w:tplc="0358AE74">
      <w:start w:val="1"/>
      <w:numFmt w:val="lowerLetter"/>
      <w:lvlText w:val="%5."/>
      <w:lvlJc w:val="left"/>
      <w:pPr>
        <w:ind w:left="6840" w:firstLine="0"/>
      </w:pPr>
      <w:rPr>
        <w:u w:val="none"/>
      </w:rPr>
    </w:lvl>
    <w:lvl w:ilvl="5" w:tplc="3C5844D6">
      <w:start w:val="1"/>
      <w:numFmt w:val="lowerRoman"/>
      <w:lvlText w:val="%6."/>
      <w:lvlJc w:val="left"/>
      <w:pPr>
        <w:ind w:left="8280" w:firstLine="0"/>
      </w:pPr>
      <w:rPr>
        <w:u w:val="none"/>
      </w:rPr>
    </w:lvl>
    <w:lvl w:ilvl="6" w:tplc="4E96261A">
      <w:start w:val="1"/>
      <w:numFmt w:val="decimal"/>
      <w:lvlText w:val="%7."/>
      <w:lvlJc w:val="left"/>
      <w:pPr>
        <w:ind w:left="9720" w:firstLine="0"/>
      </w:pPr>
      <w:rPr>
        <w:u w:val="none"/>
      </w:rPr>
    </w:lvl>
    <w:lvl w:ilvl="7" w:tplc="373A3C68">
      <w:start w:val="1"/>
      <w:numFmt w:val="lowerLetter"/>
      <w:lvlText w:val="%8."/>
      <w:lvlJc w:val="left"/>
      <w:pPr>
        <w:ind w:left="11160" w:firstLine="0"/>
      </w:pPr>
      <w:rPr>
        <w:u w:val="none"/>
      </w:rPr>
    </w:lvl>
    <w:lvl w:ilvl="8" w:tplc="DBE23024">
      <w:start w:val="1"/>
      <w:numFmt w:val="lowerRoman"/>
      <w:lvlText w:val="%9."/>
      <w:lvlJc w:val="left"/>
      <w:pPr>
        <w:ind w:left="12600" w:firstLine="0"/>
      </w:pPr>
      <w:rPr>
        <w:u w:val="none"/>
      </w:rPr>
    </w:lvl>
  </w:abstractNum>
  <w:abstractNum w:abstractNumId="10" w15:restartNumberingAfterBreak="0">
    <w:nsid w:val="7CDC4678"/>
    <w:multiLevelType w:val="hybridMultilevel"/>
    <w:tmpl w:val="6A5A8C54"/>
    <w:name w:val="Lista numerada 11"/>
    <w:lvl w:ilvl="0" w:tplc="D8CA34E4">
      <w:start w:val="1"/>
      <w:numFmt w:val="decimal"/>
      <w:lvlText w:val="%1)"/>
      <w:lvlJc w:val="left"/>
      <w:pPr>
        <w:ind w:left="435" w:firstLine="0"/>
      </w:pPr>
    </w:lvl>
    <w:lvl w:ilvl="1" w:tplc="9D7C0AE4">
      <w:start w:val="1"/>
      <w:numFmt w:val="lowerLetter"/>
      <w:lvlText w:val="%2."/>
      <w:lvlJc w:val="left"/>
      <w:pPr>
        <w:ind w:left="1155" w:firstLine="0"/>
      </w:pPr>
    </w:lvl>
    <w:lvl w:ilvl="2" w:tplc="14266960">
      <w:start w:val="1"/>
      <w:numFmt w:val="lowerRoman"/>
      <w:lvlText w:val="%3."/>
      <w:lvlJc w:val="left"/>
      <w:pPr>
        <w:ind w:left="2055" w:firstLine="0"/>
      </w:pPr>
    </w:lvl>
    <w:lvl w:ilvl="3" w:tplc="01FA2302">
      <w:start w:val="1"/>
      <w:numFmt w:val="decimal"/>
      <w:lvlText w:val="%4."/>
      <w:lvlJc w:val="left"/>
      <w:pPr>
        <w:ind w:left="2595" w:firstLine="0"/>
      </w:pPr>
    </w:lvl>
    <w:lvl w:ilvl="4" w:tplc="5F0E0A26">
      <w:start w:val="1"/>
      <w:numFmt w:val="lowerLetter"/>
      <w:lvlText w:val="%5."/>
      <w:lvlJc w:val="left"/>
      <w:pPr>
        <w:ind w:left="3315" w:firstLine="0"/>
      </w:pPr>
    </w:lvl>
    <w:lvl w:ilvl="5" w:tplc="9F7A8EF2">
      <w:start w:val="1"/>
      <w:numFmt w:val="lowerRoman"/>
      <w:lvlText w:val="%6."/>
      <w:lvlJc w:val="left"/>
      <w:pPr>
        <w:ind w:left="4215" w:firstLine="0"/>
      </w:pPr>
    </w:lvl>
    <w:lvl w:ilvl="6" w:tplc="7FE2A8E6">
      <w:start w:val="1"/>
      <w:numFmt w:val="decimal"/>
      <w:lvlText w:val="%7."/>
      <w:lvlJc w:val="left"/>
      <w:pPr>
        <w:ind w:left="4755" w:firstLine="0"/>
      </w:pPr>
    </w:lvl>
    <w:lvl w:ilvl="7" w:tplc="214E1F62">
      <w:start w:val="1"/>
      <w:numFmt w:val="lowerLetter"/>
      <w:lvlText w:val="%8."/>
      <w:lvlJc w:val="left"/>
      <w:pPr>
        <w:ind w:left="5475" w:firstLine="0"/>
      </w:pPr>
    </w:lvl>
    <w:lvl w:ilvl="8" w:tplc="4760B930">
      <w:start w:val="1"/>
      <w:numFmt w:val="lowerRoman"/>
      <w:lvlText w:val="%9."/>
      <w:lvlJc w:val="left"/>
      <w:pPr>
        <w:ind w:left="6375" w:firstLine="0"/>
      </w:pPr>
    </w:lvl>
  </w:abstractNum>
  <w:abstractNum w:abstractNumId="11" w15:restartNumberingAfterBreak="0">
    <w:nsid w:val="7E2069F9"/>
    <w:multiLevelType w:val="hybridMultilevel"/>
    <w:tmpl w:val="6D8AE2BC"/>
    <w:name w:val="Lista numerada 1"/>
    <w:lvl w:ilvl="0" w:tplc="EC0AFF48">
      <w:numFmt w:val="bullet"/>
      <w:lvlText w:val="-"/>
      <w:lvlJc w:val="left"/>
      <w:pPr>
        <w:ind w:left="786" w:firstLine="0"/>
      </w:pPr>
      <w:rPr>
        <w:rFonts w:ascii="Sylfaen" w:hAnsi="Sylfaen"/>
      </w:rPr>
    </w:lvl>
    <w:lvl w:ilvl="1" w:tplc="394CA74C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83E118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9C0A6D2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3E8ABF70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C6F41EC6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FCE6BD3A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DA6880C2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16284EF4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51"/>
    <w:rsid w:val="001B0354"/>
    <w:rsid w:val="00284D9A"/>
    <w:rsid w:val="00347217"/>
    <w:rsid w:val="005801A7"/>
    <w:rsid w:val="00773A51"/>
    <w:rsid w:val="00AD0FA0"/>
    <w:rsid w:val="00B430D1"/>
    <w:rsid w:val="00C74F56"/>
    <w:rsid w:val="00CE562F"/>
    <w:rsid w:val="00FF195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B3F536-3799-45D9-B4AE-7516B27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next w:val="Textoindependiente"/>
    <w:qFormat/>
    <w:pPr>
      <w:suppressAutoHyphens/>
      <w:jc w:val="both"/>
    </w:pPr>
    <w:rPr>
      <w:rFonts w:ascii="Times New Roman" w:eastAsia="Times New Roman" w:hAnsi="Times New Roman"/>
      <w:szCs w:val="20"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lang w:val="es-CL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paragraph" w:styleId="Textosinformato">
    <w:name w:val="Plain Text"/>
    <w:basedOn w:val="Normal"/>
    <w:qFormat/>
    <w:pPr>
      <w:jc w:val="both"/>
    </w:pPr>
    <w:rPr>
      <w:rFonts w:ascii="Consolas" w:hAnsi="Consolas"/>
      <w:color w:val="000000"/>
      <w:sz w:val="21"/>
      <w:szCs w:val="21"/>
      <w:lang w:val="es-CL"/>
    </w:rPr>
  </w:style>
  <w:style w:type="paragraph" w:customStyle="1" w:styleId="Style1">
    <w:name w:val="Style 1"/>
    <w:qFormat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/>
    </w:rPr>
  </w:style>
  <w:style w:type="character" w:customStyle="1" w:styleId="TextodecuerpoCar">
    <w:name w:val="Texto de cuerpo Car"/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nfasis">
    <w:name w:val="Emphasis"/>
    <w:basedOn w:val="Fuentedeprrafopredeter"/>
    <w:rPr>
      <w:i/>
      <w:iCs/>
    </w:rPr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character" w:customStyle="1" w:styleId="TextosinformatoCar">
    <w:name w:val="Texto sin formato Car"/>
    <w:basedOn w:val="Fuentedeprrafopredeter"/>
    <w:rPr>
      <w:rFonts w:ascii="Consolas" w:eastAsia="Calibri" w:hAnsi="Consolas" w:cs="Times New Roman"/>
      <w:color w:val="000000"/>
      <w:sz w:val="21"/>
      <w:szCs w:val="21"/>
      <w:lang w:val="es-CL"/>
    </w:rPr>
  </w:style>
  <w:style w:type="character" w:styleId="Textoennegrita">
    <w:name w:val="Strong"/>
    <w:rPr>
      <w:rFonts w:cs="Times New Roman"/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3Car">
    <w:name w:val="Título 3 Car"/>
    <w:basedOn w:val="Fuentedeprrafopredete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 w:cs="Courier New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j-worldnews.com/spain/index.php/en/item/2994-las-victimas-por-sumision-quimica-el-crimen-perfec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PRESMITA, ALEXIS A.</dc:creator>
  <cp:keywords/>
  <dc:description/>
  <cp:lastModifiedBy>Leonardo Lueiza Ureta</cp:lastModifiedBy>
  <cp:revision>4</cp:revision>
  <cp:lastPrinted>2018-07-12T13:25:00Z</cp:lastPrinted>
  <dcterms:created xsi:type="dcterms:W3CDTF">2018-07-12T15:44:00Z</dcterms:created>
  <dcterms:modified xsi:type="dcterms:W3CDTF">2018-07-17T16:59:00Z</dcterms:modified>
</cp:coreProperties>
</file>