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98" w:rsidRPr="0055205E" w:rsidRDefault="00DF3F71" w:rsidP="0055205E">
      <w:pPr>
        <w:tabs>
          <w:tab w:val="left" w:pos="4500"/>
        </w:tabs>
        <w:ind w:left="567"/>
        <w:jc w:val="center"/>
        <w:rPr>
          <w:rFonts w:ascii="Georgia" w:hAnsi="Georgia"/>
        </w:rPr>
      </w:pPr>
      <w:r w:rsidRPr="002843D5">
        <w:rPr>
          <w:rFonts w:ascii="Georgia" w:hAnsi="Georgia"/>
          <w:noProof/>
        </w:rPr>
        <w:object w:dxaOrig="2288" w:dyaOrig="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2pt;height:54.6pt;mso-width-percent:0;mso-height-percent:0;mso-width-percent:0;mso-height-percent:0" o:ole="" fillcolor="window">
            <v:imagedata r:id="rId6" o:title=""/>
          </v:shape>
          <o:OLEObject Type="Embed" ProgID="MSDraw" ShapeID="_x0000_i1025" DrawAspect="Content" ObjectID="_1591794789" r:id="rId7">
            <o:FieldCodes>\* MERGEFORMAT</o:FieldCodes>
          </o:OLEObject>
        </w:object>
      </w:r>
      <w:bookmarkStart w:id="0" w:name="_GoBack"/>
      <w:bookmarkEnd w:id="0"/>
    </w:p>
    <w:p w:rsidR="00773698" w:rsidRPr="0055205E" w:rsidRDefault="00773698" w:rsidP="0055205E">
      <w:pPr>
        <w:ind w:left="567"/>
        <w:jc w:val="center"/>
        <w:rPr>
          <w:rFonts w:ascii="Georgia" w:hAnsi="Georgia"/>
          <w:i/>
          <w:sz w:val="18"/>
          <w:szCs w:val="18"/>
          <w:lang w:val="es-ES"/>
        </w:rPr>
      </w:pPr>
      <w:r w:rsidRPr="0055205E">
        <w:rPr>
          <w:rFonts w:ascii="Georgia" w:hAnsi="Georgia"/>
          <w:i/>
          <w:sz w:val="18"/>
          <w:szCs w:val="18"/>
          <w:lang w:val="es-ES"/>
        </w:rPr>
        <w:t>Cámara de Diputados</w:t>
      </w:r>
    </w:p>
    <w:p w:rsidR="00773698" w:rsidRPr="0055205E" w:rsidRDefault="00773698" w:rsidP="00341280">
      <w:pPr>
        <w:ind w:left="567" w:right="1446"/>
        <w:jc w:val="both"/>
        <w:rPr>
          <w:rFonts w:ascii="Georgia" w:hAnsi="Georgia"/>
          <w:b/>
          <w:szCs w:val="24"/>
          <w:lang w:val="es-ES_tradnl"/>
        </w:rPr>
      </w:pPr>
    </w:p>
    <w:p w:rsidR="00773698" w:rsidRPr="00670A3D" w:rsidRDefault="00670A3D" w:rsidP="00670A3D">
      <w:pPr>
        <w:ind w:left="993" w:right="1608"/>
        <w:jc w:val="center"/>
        <w:rPr>
          <w:rFonts w:ascii="Georgia" w:hAnsi="Georgia"/>
          <w:b/>
          <w:szCs w:val="21"/>
          <w:lang w:val="es-ES_tradnl"/>
        </w:rPr>
      </w:pPr>
      <w:r w:rsidRPr="00670A3D">
        <w:rPr>
          <w:rFonts w:ascii="Georgia" w:hAnsi="Georgia"/>
          <w:b/>
          <w:szCs w:val="21"/>
          <w:lang w:val="es-ES_tradnl"/>
        </w:rPr>
        <w:t>Declara el 2 de julio como Día Nacional de los Trabajadores de Casinos de Juegos</w:t>
      </w:r>
    </w:p>
    <w:p w:rsidR="00670A3D" w:rsidRPr="00670A3D" w:rsidRDefault="00670A3D" w:rsidP="00670A3D">
      <w:pPr>
        <w:ind w:left="993" w:right="1608"/>
        <w:jc w:val="center"/>
        <w:rPr>
          <w:rFonts w:ascii="Georgia" w:hAnsi="Georgia"/>
          <w:b/>
          <w:szCs w:val="21"/>
          <w:lang w:val="es-ES_tradnl"/>
        </w:rPr>
      </w:pPr>
      <w:r w:rsidRPr="00670A3D">
        <w:rPr>
          <w:rFonts w:ascii="Georgia" w:hAnsi="Georgia"/>
          <w:b/>
          <w:szCs w:val="21"/>
          <w:lang w:val="es-ES_tradnl"/>
        </w:rPr>
        <w:t>Boletín N°11853-24</w:t>
      </w:r>
    </w:p>
    <w:p w:rsidR="00773698" w:rsidRPr="00E50488" w:rsidRDefault="00773698" w:rsidP="00902AEC">
      <w:pPr>
        <w:jc w:val="both"/>
        <w:rPr>
          <w:rFonts w:ascii="Georgia" w:hAnsi="Georgia" w:cs="Courier New"/>
          <w:color w:val="000000" w:themeColor="text1"/>
          <w:sz w:val="24"/>
          <w:szCs w:val="24"/>
        </w:rPr>
      </w:pPr>
      <w:r w:rsidRPr="00E50488">
        <w:rPr>
          <w:rFonts w:ascii="Georgia" w:hAnsi="Georgia"/>
          <w:b/>
          <w:color w:val="000000" w:themeColor="text1"/>
          <w:sz w:val="24"/>
          <w:szCs w:val="24"/>
        </w:rPr>
        <w:t>1. Antecedentes.</w:t>
      </w:r>
      <w:r w:rsidR="00752938" w:rsidRPr="00E50488">
        <w:rPr>
          <w:rFonts w:ascii="Georgia" w:hAnsi="Georgia"/>
          <w:b/>
          <w:color w:val="000000" w:themeColor="text1"/>
          <w:sz w:val="24"/>
          <w:szCs w:val="24"/>
        </w:rPr>
        <w:t xml:space="preserve"> </w:t>
      </w:r>
      <w:r w:rsidRPr="00E50488">
        <w:rPr>
          <w:rFonts w:ascii="Georgia" w:hAnsi="Georgia" w:cs="Courier New"/>
          <w:color w:val="000000" w:themeColor="text1"/>
          <w:sz w:val="24"/>
          <w:szCs w:val="24"/>
        </w:rPr>
        <w:t>Los juegos de azar no son algo nuevo para la humanidad, por el contrario, “es una actividad que ha estado siempre muy ligada a la humanidad; tanto, que no es descabellado sostener que ha nacido y evolucionado junto con el hombre, y de ello existen numerosos vestigios en descubrimientos arqueológicos de miles de años de antigüedad”</w:t>
      </w:r>
      <w:r w:rsidRPr="00E50488">
        <w:rPr>
          <w:rStyle w:val="Refdenotaalpie"/>
          <w:rFonts w:ascii="Georgia" w:hAnsi="Georgia" w:cs="Courier New"/>
          <w:color w:val="000000" w:themeColor="text1"/>
          <w:sz w:val="24"/>
          <w:szCs w:val="24"/>
        </w:rPr>
        <w:footnoteReference w:id="1"/>
      </w:r>
      <w:r w:rsidRPr="00E50488">
        <w:rPr>
          <w:rFonts w:ascii="Georgia" w:hAnsi="Georgia" w:cs="Courier New"/>
          <w:color w:val="000000" w:themeColor="text1"/>
          <w:sz w:val="24"/>
          <w:szCs w:val="24"/>
        </w:rPr>
        <w:t xml:space="preserve">. Si bien esta actividad se puede practicar en el ámbito privado, en los hogares, en reuniones sociales o encuentros en lugares públicos; también hay </w:t>
      </w:r>
      <w:r w:rsidR="00752938" w:rsidRPr="00E50488">
        <w:rPr>
          <w:rFonts w:ascii="Georgia" w:hAnsi="Georgia" w:cs="Courier New"/>
          <w:color w:val="000000" w:themeColor="text1"/>
          <w:sz w:val="24"/>
          <w:szCs w:val="24"/>
        </w:rPr>
        <w:t>espacios</w:t>
      </w:r>
      <w:r w:rsidRPr="00E50488">
        <w:rPr>
          <w:rFonts w:ascii="Georgia" w:hAnsi="Georgia" w:cs="Courier New"/>
          <w:color w:val="000000" w:themeColor="text1"/>
          <w:sz w:val="24"/>
          <w:szCs w:val="24"/>
        </w:rPr>
        <w:t xml:space="preserve">, habilitados especialmente, </w:t>
      </w:r>
      <w:r w:rsidR="00752938" w:rsidRPr="00E50488">
        <w:rPr>
          <w:rFonts w:ascii="Georgia" w:hAnsi="Georgia" w:cs="Courier New"/>
          <w:color w:val="000000" w:themeColor="text1"/>
          <w:sz w:val="24"/>
          <w:szCs w:val="24"/>
        </w:rPr>
        <w:t>como los casinos de juegos, l</w:t>
      </w:r>
      <w:r w:rsidR="00AD0C2C" w:rsidRPr="00E50488">
        <w:rPr>
          <w:rFonts w:ascii="Georgia" w:hAnsi="Georgia" w:cs="Courier New"/>
          <w:color w:val="000000" w:themeColor="text1"/>
          <w:sz w:val="24"/>
          <w:szCs w:val="24"/>
        </w:rPr>
        <w:t>a</w:t>
      </w:r>
      <w:r w:rsidRPr="00E50488">
        <w:rPr>
          <w:rFonts w:ascii="Georgia" w:hAnsi="Georgia" w:cs="Courier New"/>
          <w:color w:val="000000" w:themeColor="text1"/>
          <w:sz w:val="24"/>
          <w:szCs w:val="24"/>
        </w:rPr>
        <w:t xml:space="preserve"> cual tiene una valoración negativa por parte de algunos sectores de la sociedad. Prejuicio cuyo origen se encuentra en las apreciaciones que la moral cristiana tiene sobre estos asuntos, pues es sabido que en varios pasajes bíblicos se hace alusión a la apuesta, al deseo de dinero, codicia y ambición como elementos de condenación</w:t>
      </w:r>
      <w:r w:rsidRPr="00E50488">
        <w:rPr>
          <w:rStyle w:val="Refdenotaalpie"/>
          <w:rFonts w:ascii="Georgia" w:hAnsi="Georgia" w:cs="Courier New"/>
          <w:color w:val="000000" w:themeColor="text1"/>
          <w:sz w:val="24"/>
          <w:szCs w:val="24"/>
        </w:rPr>
        <w:footnoteReference w:id="2"/>
      </w:r>
      <w:r w:rsidRPr="00E50488">
        <w:rPr>
          <w:rFonts w:ascii="Georgia" w:hAnsi="Georgia" w:cs="Courier New"/>
          <w:color w:val="000000" w:themeColor="text1"/>
          <w:sz w:val="24"/>
          <w:szCs w:val="24"/>
        </w:rPr>
        <w:t xml:space="preserve">, ante ello es necesario revisar </w:t>
      </w:r>
      <w:r w:rsidR="00752938" w:rsidRPr="00E50488">
        <w:rPr>
          <w:rFonts w:ascii="Georgia" w:hAnsi="Georgia" w:cs="Courier New"/>
          <w:color w:val="000000" w:themeColor="text1"/>
          <w:sz w:val="24"/>
          <w:szCs w:val="24"/>
        </w:rPr>
        <w:t>cómo</w:t>
      </w:r>
      <w:r w:rsidRPr="00E50488">
        <w:rPr>
          <w:rFonts w:ascii="Georgia" w:hAnsi="Georgia" w:cs="Courier New"/>
          <w:color w:val="000000" w:themeColor="text1"/>
          <w:sz w:val="24"/>
          <w:szCs w:val="24"/>
        </w:rPr>
        <w:t xml:space="preserve"> se “estigmatiza y critica sin piedad la relación entre consumo y placer o deseo”</w:t>
      </w:r>
      <w:r w:rsidRPr="00E50488">
        <w:rPr>
          <w:rStyle w:val="Refdenotaalpie"/>
          <w:rFonts w:ascii="Georgia" w:hAnsi="Georgia" w:cs="Courier New"/>
          <w:color w:val="000000" w:themeColor="text1"/>
          <w:sz w:val="24"/>
          <w:szCs w:val="24"/>
        </w:rPr>
        <w:footnoteReference w:id="3"/>
      </w:r>
      <w:r w:rsidRPr="00E50488">
        <w:rPr>
          <w:rFonts w:ascii="Georgia" w:hAnsi="Georgia" w:cs="Courier New"/>
          <w:color w:val="000000" w:themeColor="text1"/>
          <w:sz w:val="24"/>
          <w:szCs w:val="24"/>
        </w:rPr>
        <w:t xml:space="preserve">, sin embargo, la </w:t>
      </w:r>
      <w:r w:rsidRPr="00E50488">
        <w:rPr>
          <w:rFonts w:ascii="Georgia" w:hAnsi="Georgia" w:cs="Courier New"/>
          <w:b/>
          <w:color w:val="000000" w:themeColor="text1"/>
          <w:sz w:val="24"/>
          <w:szCs w:val="24"/>
        </w:rPr>
        <w:t>libertad de las personas</w:t>
      </w:r>
      <w:r w:rsidRPr="00E50488">
        <w:rPr>
          <w:rFonts w:ascii="Georgia" w:hAnsi="Georgia" w:cs="Courier New"/>
          <w:color w:val="000000" w:themeColor="text1"/>
          <w:sz w:val="24"/>
          <w:szCs w:val="24"/>
        </w:rPr>
        <w:t xml:space="preserve"> es un valor que </w:t>
      </w:r>
      <w:r w:rsidR="00752938" w:rsidRPr="00E50488">
        <w:rPr>
          <w:rFonts w:ascii="Georgia" w:hAnsi="Georgia" w:cs="Courier New"/>
          <w:color w:val="000000" w:themeColor="text1"/>
          <w:sz w:val="24"/>
          <w:szCs w:val="24"/>
        </w:rPr>
        <w:t>está</w:t>
      </w:r>
      <w:r w:rsidRPr="00E50488">
        <w:rPr>
          <w:rFonts w:ascii="Georgia" w:hAnsi="Georgia" w:cs="Courier New"/>
          <w:color w:val="000000" w:themeColor="text1"/>
          <w:sz w:val="24"/>
          <w:szCs w:val="24"/>
        </w:rPr>
        <w:t xml:space="preserve"> por sobre preceptos morales religiosos, y la conducta de consumo, ya sea en adquisición de bienes o en pago de entretención , solo es execrable, cuando el consumo pasa a ser el "sentido de vida"</w:t>
      </w:r>
      <w:r w:rsidRPr="00E50488">
        <w:rPr>
          <w:rStyle w:val="Refdenotaalpie"/>
          <w:rFonts w:ascii="Georgia" w:hAnsi="Georgia" w:cs="Courier New"/>
          <w:color w:val="000000" w:themeColor="text1"/>
          <w:sz w:val="24"/>
          <w:szCs w:val="24"/>
        </w:rPr>
        <w:footnoteReference w:id="4"/>
      </w:r>
      <w:r w:rsidRPr="00E50488">
        <w:rPr>
          <w:rFonts w:ascii="Georgia" w:hAnsi="Georgia" w:cs="Courier New"/>
          <w:color w:val="000000" w:themeColor="text1"/>
          <w:sz w:val="24"/>
          <w:szCs w:val="24"/>
        </w:rPr>
        <w:t xml:space="preserve"> de las personas, lo que para los jugadores sería la existencia de patologías asociadas al juego, tales  como la</w:t>
      </w:r>
      <w:r w:rsidRPr="00E50488">
        <w:rPr>
          <w:rFonts w:ascii="Georgia" w:hAnsi="Georgia" w:cs="Courier New"/>
          <w:i/>
          <w:color w:val="000000" w:themeColor="text1"/>
          <w:sz w:val="24"/>
          <w:szCs w:val="24"/>
        </w:rPr>
        <w:t xml:space="preserve"> ludopatía</w:t>
      </w:r>
      <w:r w:rsidRPr="00E50488">
        <w:rPr>
          <w:rFonts w:ascii="Georgia" w:hAnsi="Georgia" w:cs="Courier New"/>
          <w:color w:val="000000" w:themeColor="text1"/>
          <w:sz w:val="24"/>
          <w:szCs w:val="24"/>
        </w:rPr>
        <w:t xml:space="preserve">.   </w:t>
      </w:r>
    </w:p>
    <w:p w:rsidR="00773698" w:rsidRPr="00E50488" w:rsidRDefault="00773698" w:rsidP="00902AEC">
      <w:pPr>
        <w:ind w:firstLine="708"/>
        <w:jc w:val="both"/>
        <w:rPr>
          <w:rFonts w:ascii="Georgia" w:hAnsi="Georgia"/>
          <w:color w:val="000000" w:themeColor="text1"/>
          <w:sz w:val="24"/>
          <w:szCs w:val="24"/>
        </w:rPr>
      </w:pPr>
      <w:r w:rsidRPr="00E50488">
        <w:rPr>
          <w:rFonts w:ascii="Georgia" w:hAnsi="Georgia" w:cs="Courier New"/>
          <w:color w:val="000000" w:themeColor="text1"/>
          <w:sz w:val="24"/>
          <w:szCs w:val="24"/>
        </w:rPr>
        <w:t xml:space="preserve">El ser humano ha </w:t>
      </w:r>
      <w:r w:rsidR="00752938" w:rsidRPr="00E50488">
        <w:rPr>
          <w:rFonts w:ascii="Georgia" w:hAnsi="Georgia" w:cs="Courier New"/>
          <w:color w:val="000000" w:themeColor="text1"/>
          <w:sz w:val="24"/>
          <w:szCs w:val="24"/>
        </w:rPr>
        <w:t>buscado</w:t>
      </w:r>
      <w:r w:rsidRPr="00E50488">
        <w:rPr>
          <w:rFonts w:ascii="Georgia" w:hAnsi="Georgia" w:cs="Courier New"/>
          <w:color w:val="000000" w:themeColor="text1"/>
          <w:sz w:val="24"/>
          <w:szCs w:val="24"/>
        </w:rPr>
        <w:t xml:space="preserve"> entretenimiento desde tiempos inmemoriales; los casinos de juego contemporáneos, solo vienen a agrupar gran variedad de juegos y servicios en una misma instalación. Estas instalaciones son las que finalmente se hacen cargo de una actividad recurrente y una de las preocupaciones que existen sobre el desarrollo de la actividad de casinos es la situación de los trabajadores de casinos, puesto que se ha hecho patente que no existen medidas de seguridad para evitar que personas con trastornos y patologías sean excluidas de esta actividad, ya que representan un peligro que se ha evidenciado, </w:t>
      </w:r>
      <w:r w:rsidRPr="00E50488">
        <w:rPr>
          <w:rFonts w:ascii="Georgia" w:hAnsi="Georgia"/>
          <w:color w:val="000000" w:themeColor="text1"/>
          <w:sz w:val="24"/>
          <w:szCs w:val="24"/>
        </w:rPr>
        <w:t xml:space="preserve">por los trágicos hechos en el Casino Monticello que le costó la vida a dos trabajadores y lesiones a otro grupo. En </w:t>
      </w:r>
      <w:r w:rsidRPr="00E50488">
        <w:rPr>
          <w:rFonts w:ascii="Georgia" w:hAnsi="Georgia"/>
          <w:color w:val="000000" w:themeColor="text1"/>
          <w:sz w:val="24"/>
          <w:szCs w:val="24"/>
        </w:rPr>
        <w:lastRenderedPageBreak/>
        <w:t xml:space="preserve">esta perspectiva, </w:t>
      </w:r>
      <w:r w:rsidRPr="00E50488">
        <w:rPr>
          <w:rFonts w:ascii="Georgia" w:hAnsi="Georgia" w:cs="Courier New"/>
          <w:color w:val="000000" w:themeColor="text1"/>
          <w:sz w:val="24"/>
          <w:szCs w:val="24"/>
        </w:rPr>
        <w:t xml:space="preserve">otra de las problemáticas que se ha presentado para los trabajadores de casino son las condiciones laborales y salariales, así como los horarios de trabajo impuestos en este rubro. </w:t>
      </w:r>
    </w:p>
    <w:p w:rsidR="00773698" w:rsidRPr="00E50488" w:rsidRDefault="00773698" w:rsidP="0010303A">
      <w:pPr>
        <w:ind w:firstLine="708"/>
        <w:jc w:val="both"/>
        <w:rPr>
          <w:rFonts w:ascii="Georgia" w:hAnsi="Georgia" w:cs="Courier New"/>
          <w:color w:val="000000" w:themeColor="text1"/>
          <w:sz w:val="24"/>
          <w:szCs w:val="24"/>
          <w:lang w:eastAsia="es-CL"/>
        </w:rPr>
      </w:pPr>
      <w:r w:rsidRPr="00E50488">
        <w:rPr>
          <w:rFonts w:ascii="Georgia" w:hAnsi="Georgia"/>
          <w:color w:val="000000" w:themeColor="text1"/>
          <w:sz w:val="24"/>
          <w:szCs w:val="24"/>
        </w:rPr>
        <w:t xml:space="preserve">Los casinos están regulados por la Ley Núm. 19.995, y tiene una importancia en </w:t>
      </w:r>
      <w:r w:rsidR="00752938" w:rsidRPr="00E50488">
        <w:rPr>
          <w:rFonts w:ascii="Georgia" w:hAnsi="Georgia"/>
          <w:color w:val="000000" w:themeColor="text1"/>
          <w:sz w:val="24"/>
          <w:szCs w:val="24"/>
        </w:rPr>
        <w:t>términos</w:t>
      </w:r>
      <w:r w:rsidRPr="00E50488">
        <w:rPr>
          <w:rFonts w:ascii="Georgia" w:hAnsi="Georgia"/>
          <w:color w:val="000000" w:themeColor="text1"/>
          <w:sz w:val="24"/>
          <w:szCs w:val="24"/>
        </w:rPr>
        <w:t xml:space="preserve"> de </w:t>
      </w:r>
      <w:r w:rsidR="00752938" w:rsidRPr="00E50488">
        <w:rPr>
          <w:rFonts w:ascii="Georgia" w:hAnsi="Georgia"/>
          <w:color w:val="000000" w:themeColor="text1"/>
          <w:sz w:val="24"/>
          <w:szCs w:val="24"/>
        </w:rPr>
        <w:t>recaudación</w:t>
      </w:r>
      <w:r w:rsidRPr="00E50488">
        <w:rPr>
          <w:rFonts w:ascii="Georgia" w:hAnsi="Georgia"/>
          <w:color w:val="000000" w:themeColor="text1"/>
          <w:sz w:val="24"/>
          <w:szCs w:val="24"/>
        </w:rPr>
        <w:t>, así, en el año 2016 “generó ingresos brutos de juego o “win” por $ 308.585 millones, equivalentes a US$ 456,38 millones”</w:t>
      </w:r>
      <w:r w:rsidRPr="00E50488">
        <w:rPr>
          <w:rStyle w:val="Refdenotaalpie"/>
          <w:rFonts w:ascii="Georgia" w:hAnsi="Georgia"/>
          <w:color w:val="000000" w:themeColor="text1"/>
          <w:sz w:val="24"/>
          <w:szCs w:val="24"/>
        </w:rPr>
        <w:footnoteReference w:id="5"/>
      </w:r>
      <w:r w:rsidRPr="00E50488">
        <w:rPr>
          <w:rFonts w:ascii="Georgia" w:hAnsi="Georgia"/>
          <w:color w:val="000000" w:themeColor="text1"/>
          <w:sz w:val="24"/>
          <w:szCs w:val="24"/>
        </w:rPr>
        <w:t xml:space="preserve">, lo que significó ingresos para el fisco de $ 50.532 millones por concepto de impuesto </w:t>
      </w:r>
      <w:r w:rsidR="00752938" w:rsidRPr="00E50488">
        <w:rPr>
          <w:rFonts w:ascii="Georgia" w:hAnsi="Georgia"/>
          <w:color w:val="000000" w:themeColor="text1"/>
          <w:sz w:val="24"/>
          <w:szCs w:val="24"/>
        </w:rPr>
        <w:t>específico</w:t>
      </w:r>
      <w:r w:rsidRPr="00E50488">
        <w:rPr>
          <w:rFonts w:ascii="Georgia" w:hAnsi="Georgia"/>
          <w:color w:val="000000" w:themeColor="text1"/>
          <w:sz w:val="24"/>
          <w:szCs w:val="24"/>
        </w:rPr>
        <w:t xml:space="preserve"> al juego. Los casinos están afectos a impuestos a la renta e impuestos a la venta y servicios, sin perjuicio de ello, del impuesto específico regulado</w:t>
      </w:r>
      <w:r w:rsidR="00752938" w:rsidRPr="00E50488">
        <w:rPr>
          <w:rFonts w:ascii="Georgia" w:hAnsi="Georgia"/>
          <w:color w:val="000000" w:themeColor="text1"/>
          <w:sz w:val="24"/>
          <w:szCs w:val="24"/>
        </w:rPr>
        <w:t xml:space="preserve"> </w:t>
      </w:r>
      <w:r w:rsidRPr="00E50488">
        <w:rPr>
          <w:rFonts w:ascii="Georgia" w:hAnsi="Georgia"/>
          <w:color w:val="000000" w:themeColor="text1"/>
          <w:sz w:val="24"/>
          <w:szCs w:val="24"/>
        </w:rPr>
        <w:t>en el Título VII sobre afectación , en su artículo 59 se establece un impuesto específico del 20% sobre los ingresos brutos que obtengan las sociedades operadoras de casinos de juego</w:t>
      </w:r>
      <w:r w:rsidR="00752938" w:rsidRPr="00E50488">
        <w:rPr>
          <w:rFonts w:ascii="Georgia" w:hAnsi="Georgia"/>
          <w:color w:val="000000" w:themeColor="text1"/>
          <w:sz w:val="24"/>
          <w:szCs w:val="24"/>
        </w:rPr>
        <w:t>s</w:t>
      </w:r>
      <w:r w:rsidRPr="00E50488">
        <w:rPr>
          <w:rFonts w:ascii="Georgia" w:hAnsi="Georgia"/>
          <w:color w:val="000000" w:themeColor="text1"/>
          <w:sz w:val="24"/>
          <w:szCs w:val="24"/>
        </w:rPr>
        <w:t xml:space="preserve"> de los cuales</w:t>
      </w:r>
      <w:r w:rsidRPr="00E50488">
        <w:rPr>
          <w:rFonts w:ascii="Georgia" w:hAnsi="Georgia" w:cs="Courier New"/>
          <w:color w:val="000000" w:themeColor="text1"/>
          <w:sz w:val="24"/>
          <w:szCs w:val="24"/>
          <w:lang w:eastAsia="es-CL"/>
        </w:rPr>
        <w:t xml:space="preserve"> un 50% se incorporará al patrimonio de la municipalidad correspondiente a la comuna en que se encuentre ubicado el respectivo casino de juego</w:t>
      </w:r>
      <w:r w:rsidR="00752938" w:rsidRPr="00E50488">
        <w:rPr>
          <w:rFonts w:ascii="Georgia" w:hAnsi="Georgia" w:cs="Courier New"/>
          <w:color w:val="000000" w:themeColor="text1"/>
          <w:sz w:val="24"/>
          <w:szCs w:val="24"/>
          <w:lang w:eastAsia="es-CL"/>
        </w:rPr>
        <w:t>s</w:t>
      </w:r>
      <w:r w:rsidRPr="00E50488">
        <w:rPr>
          <w:rFonts w:ascii="Georgia" w:hAnsi="Georgia" w:cs="Courier New"/>
          <w:color w:val="000000" w:themeColor="text1"/>
          <w:sz w:val="24"/>
          <w:szCs w:val="24"/>
          <w:lang w:eastAsia="es-CL"/>
        </w:rPr>
        <w:t>, para ser aplicado por la autoridad comunal al financiamiento de obras de desarrollo, y un 50% se incorporará al patrimonio del gobierno regional correspondiente a la región en que se encuentre ubicado el respectivo casino de juego</w:t>
      </w:r>
      <w:r w:rsidR="00752938" w:rsidRPr="00E50488">
        <w:rPr>
          <w:rFonts w:ascii="Georgia" w:hAnsi="Georgia" w:cs="Courier New"/>
          <w:color w:val="000000" w:themeColor="text1"/>
          <w:sz w:val="24"/>
          <w:szCs w:val="24"/>
          <w:lang w:eastAsia="es-CL"/>
        </w:rPr>
        <w:t>s</w:t>
      </w:r>
      <w:r w:rsidRPr="00E50488">
        <w:rPr>
          <w:rFonts w:ascii="Georgia" w:hAnsi="Georgia" w:cs="Courier New"/>
          <w:color w:val="000000" w:themeColor="text1"/>
          <w:sz w:val="24"/>
          <w:szCs w:val="24"/>
          <w:lang w:eastAsia="es-CL"/>
        </w:rPr>
        <w:t>.</w:t>
      </w:r>
    </w:p>
    <w:p w:rsidR="00773698" w:rsidRPr="00E50488" w:rsidRDefault="00773698" w:rsidP="0010303A">
      <w:pPr>
        <w:ind w:firstLine="708"/>
        <w:jc w:val="both"/>
        <w:rPr>
          <w:rFonts w:ascii="Georgia" w:hAnsi="Georgia"/>
          <w:color w:val="000000" w:themeColor="text1"/>
          <w:sz w:val="24"/>
          <w:szCs w:val="24"/>
        </w:rPr>
      </w:pPr>
      <w:r w:rsidRPr="00E50488">
        <w:rPr>
          <w:rFonts w:ascii="Georgia" w:hAnsi="Georgia"/>
          <w:color w:val="000000" w:themeColor="text1"/>
          <w:sz w:val="24"/>
          <w:szCs w:val="24"/>
        </w:rPr>
        <w:t>En la perspectiva del crecimiento del negocio de casinos de juego</w:t>
      </w:r>
      <w:r w:rsidR="00752938" w:rsidRPr="00E50488">
        <w:rPr>
          <w:rFonts w:ascii="Georgia" w:hAnsi="Georgia"/>
          <w:color w:val="000000" w:themeColor="text1"/>
          <w:sz w:val="24"/>
          <w:szCs w:val="24"/>
        </w:rPr>
        <w:t>s</w:t>
      </w:r>
      <w:r w:rsidRPr="00E50488">
        <w:rPr>
          <w:rFonts w:ascii="Georgia" w:hAnsi="Georgia"/>
          <w:color w:val="000000" w:themeColor="text1"/>
          <w:sz w:val="24"/>
          <w:szCs w:val="24"/>
        </w:rPr>
        <w:t>, es que los trabajadores cobran relevancia, pues, atendido que los casinos de juego</w:t>
      </w:r>
      <w:r w:rsidR="00752938" w:rsidRPr="00E50488">
        <w:rPr>
          <w:rFonts w:ascii="Georgia" w:hAnsi="Georgia"/>
          <w:color w:val="000000" w:themeColor="text1"/>
          <w:sz w:val="24"/>
          <w:szCs w:val="24"/>
        </w:rPr>
        <w:t>s</w:t>
      </w:r>
      <w:r w:rsidRPr="00E50488">
        <w:rPr>
          <w:rFonts w:ascii="Georgia" w:hAnsi="Georgia"/>
          <w:color w:val="000000" w:themeColor="text1"/>
          <w:sz w:val="24"/>
          <w:szCs w:val="24"/>
        </w:rPr>
        <w:t xml:space="preserve"> están abiertos las 24 horas, están sometidos a leyes especiales sobre su jornada de trabajo. “Cuando trabajen los domingos deben ser compensados con un día libre en la semana siguiente. Lo mismo debe hacerse luego de un festivo en que trabajen. No obstante, empleadores y trabajadores pueden acordar distribuir la jornada semanal de tal forma que el trabajador cuente con, a lo menos, veintinueve domingos de descanso en el lapso de un año o, alternativamente, con quince domingos de descanso en el lapso de seis meses.”</w:t>
      </w:r>
      <w:r w:rsidRPr="00E50488">
        <w:rPr>
          <w:rStyle w:val="Refdenotaalpie"/>
          <w:rFonts w:ascii="Georgia" w:hAnsi="Georgia"/>
          <w:color w:val="000000" w:themeColor="text1"/>
          <w:sz w:val="24"/>
          <w:szCs w:val="24"/>
        </w:rPr>
        <w:footnoteReference w:id="6"/>
      </w:r>
      <w:r w:rsidRPr="00E50488">
        <w:rPr>
          <w:rFonts w:ascii="Georgia" w:hAnsi="Georgia"/>
          <w:color w:val="000000" w:themeColor="text1"/>
          <w:sz w:val="24"/>
          <w:szCs w:val="24"/>
        </w:rPr>
        <w:t xml:space="preserve"> Por ello se deben tener especial cuidado en la protección de sus derechos como trabajadores, asimismo, se debe salvaguardar su protección, ya que se encuentran expuestos a los maltratos de clientes con problemas de juego patológico.  </w:t>
      </w:r>
    </w:p>
    <w:p w:rsidR="00773698" w:rsidRPr="00E50488" w:rsidRDefault="00773698" w:rsidP="0010303A">
      <w:pPr>
        <w:ind w:firstLine="708"/>
        <w:jc w:val="both"/>
        <w:rPr>
          <w:rFonts w:ascii="Georgia" w:hAnsi="Georgia"/>
          <w:color w:val="000000" w:themeColor="text1"/>
          <w:sz w:val="24"/>
          <w:szCs w:val="24"/>
        </w:rPr>
      </w:pPr>
      <w:r w:rsidRPr="00E50488">
        <w:rPr>
          <w:rFonts w:ascii="Georgia" w:hAnsi="Georgia"/>
          <w:color w:val="000000" w:themeColor="text1"/>
          <w:sz w:val="24"/>
          <w:szCs w:val="24"/>
        </w:rPr>
        <w:t>En este último sentido, son los trabajadores de casino</w:t>
      </w:r>
      <w:r w:rsidR="00473BB6" w:rsidRPr="00E50488">
        <w:rPr>
          <w:rFonts w:ascii="Georgia" w:hAnsi="Georgia"/>
          <w:color w:val="000000" w:themeColor="text1"/>
          <w:sz w:val="24"/>
          <w:szCs w:val="24"/>
        </w:rPr>
        <w:t>s</w:t>
      </w:r>
      <w:r w:rsidRPr="00E50488">
        <w:rPr>
          <w:rFonts w:ascii="Georgia" w:hAnsi="Georgia"/>
          <w:color w:val="000000" w:themeColor="text1"/>
          <w:sz w:val="24"/>
          <w:szCs w:val="24"/>
        </w:rPr>
        <w:t xml:space="preserve"> quienes </w:t>
      </w:r>
      <w:r w:rsidR="00B76D25" w:rsidRPr="00E50488">
        <w:rPr>
          <w:rFonts w:ascii="Georgia" w:hAnsi="Georgia"/>
          <w:color w:val="000000" w:themeColor="text1"/>
          <w:sz w:val="24"/>
          <w:szCs w:val="24"/>
        </w:rPr>
        <w:t>deben lidiar</w:t>
      </w:r>
      <w:r w:rsidRPr="00E50488">
        <w:rPr>
          <w:rFonts w:ascii="Georgia" w:hAnsi="Georgia"/>
          <w:color w:val="000000" w:themeColor="text1"/>
          <w:sz w:val="24"/>
          <w:szCs w:val="24"/>
        </w:rPr>
        <w:t xml:space="preserve"> con las problemáticas derivadas</w:t>
      </w:r>
      <w:r w:rsidR="00473BB6" w:rsidRPr="00E50488">
        <w:rPr>
          <w:rFonts w:ascii="Georgia" w:hAnsi="Georgia"/>
          <w:color w:val="000000" w:themeColor="text1"/>
          <w:sz w:val="24"/>
          <w:szCs w:val="24"/>
        </w:rPr>
        <w:t xml:space="preserve"> por los adictos al juego , y que en algunos casos los arrastra a desarrollar una patología mental</w:t>
      </w:r>
      <w:r w:rsidRPr="00E50488">
        <w:rPr>
          <w:rFonts w:ascii="Georgia" w:hAnsi="Georgia"/>
          <w:color w:val="000000" w:themeColor="text1"/>
          <w:sz w:val="24"/>
          <w:szCs w:val="24"/>
        </w:rPr>
        <w:t xml:space="preserve">. </w:t>
      </w:r>
      <w:r w:rsidR="00653EA5" w:rsidRPr="00E50488">
        <w:rPr>
          <w:rFonts w:ascii="Georgia" w:hAnsi="Georgia"/>
          <w:color w:val="000000" w:themeColor="text1"/>
          <w:sz w:val="24"/>
          <w:szCs w:val="24"/>
        </w:rPr>
        <w:t>“L</w:t>
      </w:r>
      <w:r w:rsidRPr="00E50488">
        <w:rPr>
          <w:rFonts w:ascii="Georgia" w:hAnsi="Georgia"/>
          <w:color w:val="000000" w:themeColor="text1"/>
          <w:sz w:val="24"/>
          <w:szCs w:val="24"/>
        </w:rPr>
        <w:t>as amen</w:t>
      </w:r>
      <w:r w:rsidR="00653EA5" w:rsidRPr="00E50488">
        <w:rPr>
          <w:rFonts w:ascii="Georgia" w:hAnsi="Georgia"/>
          <w:color w:val="000000" w:themeColor="text1"/>
          <w:sz w:val="24"/>
          <w:szCs w:val="24"/>
        </w:rPr>
        <w:t xml:space="preserve">azas por parte de clientes son </w:t>
      </w:r>
      <w:r w:rsidR="00653EA5" w:rsidRPr="00E50488">
        <w:rPr>
          <w:rFonts w:ascii="Georgia" w:hAnsi="Georgia"/>
          <w:b/>
          <w:color w:val="000000" w:themeColor="text1"/>
          <w:sz w:val="24"/>
          <w:szCs w:val="24"/>
        </w:rPr>
        <w:t>tema de todos los días</w:t>
      </w:r>
      <w:r w:rsidRPr="00E50488">
        <w:rPr>
          <w:rFonts w:ascii="Georgia" w:hAnsi="Georgia"/>
          <w:color w:val="000000" w:themeColor="text1"/>
          <w:sz w:val="24"/>
          <w:szCs w:val="24"/>
        </w:rPr>
        <w:t xml:space="preserve"> y una problemática a nivel nacional en este tipo de establecimientos</w:t>
      </w:r>
      <w:r w:rsidRPr="00E50488">
        <w:rPr>
          <w:rStyle w:val="Refdenotaalpie"/>
          <w:rFonts w:ascii="Georgia" w:hAnsi="Georgia"/>
          <w:color w:val="000000" w:themeColor="text1"/>
          <w:sz w:val="24"/>
          <w:szCs w:val="24"/>
        </w:rPr>
        <w:footnoteReference w:id="7"/>
      </w:r>
      <w:r w:rsidR="00653EA5" w:rsidRPr="00E50488">
        <w:rPr>
          <w:rFonts w:ascii="Georgia" w:hAnsi="Georgia"/>
          <w:color w:val="000000" w:themeColor="text1"/>
          <w:sz w:val="24"/>
          <w:szCs w:val="24"/>
        </w:rPr>
        <w:t>”</w:t>
      </w:r>
      <w:r w:rsidRPr="00E50488">
        <w:rPr>
          <w:rFonts w:ascii="Georgia" w:hAnsi="Georgia"/>
          <w:color w:val="000000" w:themeColor="text1"/>
          <w:sz w:val="24"/>
          <w:szCs w:val="24"/>
        </w:rPr>
        <w:t xml:space="preserve">. </w:t>
      </w:r>
    </w:p>
    <w:p w:rsidR="00773698" w:rsidRPr="00E50488" w:rsidRDefault="00773698" w:rsidP="0010303A">
      <w:pPr>
        <w:ind w:firstLine="708"/>
        <w:jc w:val="both"/>
        <w:rPr>
          <w:rFonts w:ascii="Georgia" w:hAnsi="Georgia"/>
          <w:color w:val="000000" w:themeColor="text1"/>
          <w:sz w:val="24"/>
          <w:szCs w:val="24"/>
        </w:rPr>
      </w:pPr>
    </w:p>
    <w:p w:rsidR="00773698" w:rsidRPr="00E50488" w:rsidRDefault="00773698" w:rsidP="00341280">
      <w:pPr>
        <w:jc w:val="both"/>
        <w:rPr>
          <w:rFonts w:ascii="Georgia" w:hAnsi="Georgia" w:cs="Courier New"/>
          <w:color w:val="000000" w:themeColor="text1"/>
          <w:sz w:val="24"/>
          <w:szCs w:val="24"/>
        </w:rPr>
      </w:pPr>
      <w:r w:rsidRPr="00E50488">
        <w:rPr>
          <w:rFonts w:ascii="Georgia" w:hAnsi="Georgia" w:cs="Courier New"/>
          <w:b/>
          <w:color w:val="000000" w:themeColor="text1"/>
          <w:sz w:val="24"/>
          <w:szCs w:val="24"/>
        </w:rPr>
        <w:t>2. Ideas Matrices.</w:t>
      </w:r>
      <w:r w:rsidR="00653EA5" w:rsidRPr="00E50488">
        <w:rPr>
          <w:rFonts w:ascii="Georgia" w:hAnsi="Georgia" w:cs="Courier New"/>
          <w:b/>
          <w:color w:val="000000" w:themeColor="text1"/>
          <w:sz w:val="24"/>
          <w:szCs w:val="24"/>
        </w:rPr>
        <w:t xml:space="preserve"> </w:t>
      </w:r>
      <w:r w:rsidRPr="00E50488">
        <w:rPr>
          <w:rFonts w:ascii="Georgia" w:hAnsi="Georgia" w:cs="Courier New"/>
          <w:color w:val="000000" w:themeColor="text1"/>
          <w:sz w:val="24"/>
          <w:szCs w:val="24"/>
        </w:rPr>
        <w:t xml:space="preserve">Este proyecto tiene por objetivo efectuar un reconocimiento a los trabajadores que se desempeñan en los casinos de juegos a objeto de  poner atención en las particulares condiciones en que se desarrolla su actividad, como </w:t>
      </w:r>
      <w:r w:rsidRPr="00E50488">
        <w:rPr>
          <w:rFonts w:ascii="Georgia" w:hAnsi="Georgia" w:cs="Courier New"/>
          <w:color w:val="000000" w:themeColor="text1"/>
          <w:sz w:val="24"/>
          <w:szCs w:val="24"/>
        </w:rPr>
        <w:lastRenderedPageBreak/>
        <w:t xml:space="preserve">asimismo, llamar la atención de la necesidad de buscar condiciones para un ambiente laboral idóneo para el desarrollo de su actividad en forma segura. </w:t>
      </w:r>
    </w:p>
    <w:p w:rsidR="00773698" w:rsidRPr="00E50488" w:rsidRDefault="00773698" w:rsidP="00341280">
      <w:pPr>
        <w:jc w:val="both"/>
        <w:rPr>
          <w:rFonts w:ascii="Georgia" w:hAnsi="Georgia" w:cs="Courier New"/>
          <w:color w:val="000000" w:themeColor="text1"/>
          <w:sz w:val="24"/>
          <w:szCs w:val="24"/>
        </w:rPr>
      </w:pPr>
      <w:r w:rsidRPr="00E50488">
        <w:rPr>
          <w:rFonts w:ascii="Georgia" w:hAnsi="Georgia" w:cs="Courier New"/>
          <w:color w:val="000000" w:themeColor="text1"/>
          <w:sz w:val="24"/>
          <w:szCs w:val="24"/>
        </w:rPr>
        <w:tab/>
      </w:r>
      <w:r w:rsidRPr="00E50488">
        <w:rPr>
          <w:rFonts w:ascii="Georgia" w:hAnsi="Georgia"/>
          <w:color w:val="000000" w:themeColor="text1"/>
          <w:sz w:val="24"/>
          <w:szCs w:val="24"/>
          <w:lang w:val="es-ES_tradnl"/>
        </w:rPr>
        <w:t>El presente proyecto tiene como idea matriz autorizar la creación del Día Nacional del Trabajador de Casinos de Juego</w:t>
      </w:r>
      <w:r w:rsidR="00B76D25" w:rsidRPr="00E50488">
        <w:rPr>
          <w:rFonts w:ascii="Georgia" w:hAnsi="Georgia"/>
          <w:color w:val="000000" w:themeColor="text1"/>
          <w:sz w:val="24"/>
          <w:szCs w:val="24"/>
          <w:lang w:val="es-ES_tradnl"/>
        </w:rPr>
        <w:t>s</w:t>
      </w:r>
      <w:r w:rsidRPr="00E50488">
        <w:rPr>
          <w:rFonts w:ascii="Georgia" w:hAnsi="Georgia"/>
          <w:color w:val="000000" w:themeColor="text1"/>
          <w:sz w:val="24"/>
          <w:szCs w:val="24"/>
          <w:lang w:val="es-ES_tradnl"/>
        </w:rPr>
        <w:t xml:space="preserve"> el cual se celebrará el 2 de julio de cada año. </w:t>
      </w:r>
    </w:p>
    <w:p w:rsidR="00773698" w:rsidRPr="00E50488" w:rsidRDefault="00773698" w:rsidP="00341280">
      <w:pPr>
        <w:ind w:firstLine="708"/>
        <w:jc w:val="both"/>
        <w:rPr>
          <w:rFonts w:ascii="Georgia" w:hAnsi="Georgia" w:cs="Courier New"/>
          <w:color w:val="000000" w:themeColor="text1"/>
          <w:sz w:val="24"/>
          <w:szCs w:val="24"/>
        </w:rPr>
      </w:pPr>
      <w:r w:rsidRPr="00E50488">
        <w:rPr>
          <w:rFonts w:ascii="Georgia" w:hAnsi="Georgia"/>
          <w:color w:val="000000" w:themeColor="text1"/>
          <w:sz w:val="24"/>
          <w:szCs w:val="24"/>
          <w:lang w:val="es-ES_tradnl"/>
        </w:rPr>
        <w:t>Es por eso, que sobre la base de estos antecedentes venimos en proponer a esta Honorable Cámara el siguiente:</w:t>
      </w:r>
    </w:p>
    <w:p w:rsidR="00773698" w:rsidRPr="00E50488" w:rsidRDefault="00773698" w:rsidP="00513AAD">
      <w:pPr>
        <w:jc w:val="both"/>
        <w:rPr>
          <w:rFonts w:ascii="Georgia" w:hAnsi="Georgia" w:cs="Courier New"/>
          <w:color w:val="000000" w:themeColor="text1"/>
        </w:rPr>
      </w:pPr>
    </w:p>
    <w:p w:rsidR="00773698" w:rsidRPr="00E50488" w:rsidRDefault="00773698" w:rsidP="00341280">
      <w:pPr>
        <w:rPr>
          <w:rFonts w:ascii="Georgia" w:hAnsi="Georgia" w:cs="Courier New"/>
          <w:i/>
          <w:color w:val="000000" w:themeColor="text1"/>
        </w:rPr>
      </w:pPr>
    </w:p>
    <w:p w:rsidR="00773698" w:rsidRPr="00E50488" w:rsidRDefault="00773698" w:rsidP="00DC6359">
      <w:pPr>
        <w:jc w:val="center"/>
        <w:rPr>
          <w:rFonts w:ascii="Georgia" w:hAnsi="Georgia" w:cs="Courier New"/>
          <w:i/>
          <w:color w:val="000000" w:themeColor="text1"/>
        </w:rPr>
      </w:pPr>
      <w:r w:rsidRPr="00E50488">
        <w:rPr>
          <w:rFonts w:ascii="Georgia" w:hAnsi="Georgia" w:cs="Courier New"/>
          <w:i/>
          <w:color w:val="000000" w:themeColor="text1"/>
        </w:rPr>
        <w:t>Proyecto de ley</w:t>
      </w:r>
    </w:p>
    <w:p w:rsidR="00773698" w:rsidRPr="00E50488" w:rsidRDefault="00773698" w:rsidP="00DC6359">
      <w:pPr>
        <w:jc w:val="both"/>
        <w:rPr>
          <w:rFonts w:ascii="Courier New" w:hAnsi="Courier New" w:cs="Courier New"/>
          <w:color w:val="000000" w:themeColor="text1"/>
          <w:sz w:val="24"/>
          <w:szCs w:val="24"/>
        </w:rPr>
      </w:pPr>
    </w:p>
    <w:p w:rsidR="00653EA5" w:rsidRPr="00E50488" w:rsidRDefault="00773698" w:rsidP="00341280">
      <w:pPr>
        <w:jc w:val="both"/>
        <w:rPr>
          <w:rFonts w:ascii="Courier New" w:hAnsi="Courier New" w:cs="Courier New"/>
          <w:color w:val="000000" w:themeColor="text1"/>
          <w:sz w:val="24"/>
          <w:szCs w:val="24"/>
        </w:rPr>
      </w:pPr>
      <w:r w:rsidRPr="00E50488">
        <w:rPr>
          <w:rFonts w:ascii="Courier New" w:hAnsi="Courier New" w:cs="Courier New"/>
          <w:b/>
          <w:color w:val="000000" w:themeColor="text1"/>
          <w:sz w:val="24"/>
          <w:szCs w:val="24"/>
        </w:rPr>
        <w:t>Artículo único.-</w:t>
      </w:r>
      <w:r w:rsidR="00653EA5" w:rsidRPr="00E50488">
        <w:rPr>
          <w:rFonts w:ascii="Courier New" w:hAnsi="Courier New" w:cs="Courier New"/>
          <w:color w:val="000000" w:themeColor="text1"/>
          <w:sz w:val="24"/>
          <w:szCs w:val="24"/>
        </w:rPr>
        <w:t>Declárese</w:t>
      </w:r>
      <w:r w:rsidR="00B76D25" w:rsidRPr="00E50488">
        <w:rPr>
          <w:rFonts w:ascii="Courier New" w:hAnsi="Courier New" w:cs="Courier New"/>
          <w:color w:val="000000" w:themeColor="text1"/>
          <w:sz w:val="24"/>
          <w:szCs w:val="24"/>
        </w:rPr>
        <w:t>, en todo el Territorio N</w:t>
      </w:r>
      <w:r w:rsidR="00653EA5" w:rsidRPr="00E50488">
        <w:rPr>
          <w:rFonts w:ascii="Courier New" w:hAnsi="Courier New" w:cs="Courier New"/>
          <w:color w:val="000000" w:themeColor="text1"/>
          <w:sz w:val="24"/>
          <w:szCs w:val="24"/>
        </w:rPr>
        <w:t>acional,</w:t>
      </w:r>
      <w:r w:rsidRPr="00E50488">
        <w:rPr>
          <w:rFonts w:ascii="Courier New" w:hAnsi="Courier New" w:cs="Courier New"/>
          <w:color w:val="000000" w:themeColor="text1"/>
          <w:sz w:val="24"/>
          <w:szCs w:val="24"/>
        </w:rPr>
        <w:t xml:space="preserve"> el día 2 de Julio de cada año</w:t>
      </w:r>
      <w:r w:rsidR="00653EA5" w:rsidRPr="00E50488">
        <w:rPr>
          <w:rFonts w:ascii="Courier New" w:hAnsi="Courier New" w:cs="Courier New"/>
          <w:color w:val="000000" w:themeColor="text1"/>
          <w:sz w:val="24"/>
          <w:szCs w:val="24"/>
        </w:rPr>
        <w:t>,</w:t>
      </w:r>
      <w:r w:rsidRPr="00E50488">
        <w:rPr>
          <w:rFonts w:ascii="Courier New" w:hAnsi="Courier New" w:cs="Courier New"/>
          <w:color w:val="000000" w:themeColor="text1"/>
          <w:sz w:val="24"/>
          <w:szCs w:val="24"/>
        </w:rPr>
        <w:t xml:space="preserve"> como </w:t>
      </w:r>
      <w:r w:rsidR="00653EA5" w:rsidRPr="00E50488">
        <w:rPr>
          <w:rFonts w:ascii="Courier New" w:hAnsi="Courier New" w:cs="Courier New"/>
          <w:color w:val="000000" w:themeColor="text1"/>
          <w:sz w:val="24"/>
          <w:szCs w:val="24"/>
        </w:rPr>
        <w:t>“</w:t>
      </w:r>
      <w:r w:rsidR="00B76D25" w:rsidRPr="00E50488">
        <w:rPr>
          <w:rFonts w:ascii="Courier New" w:hAnsi="Courier New" w:cs="Courier New"/>
          <w:color w:val="000000" w:themeColor="text1"/>
          <w:sz w:val="24"/>
          <w:szCs w:val="24"/>
        </w:rPr>
        <w:t>Día Nacional de los T</w:t>
      </w:r>
      <w:r w:rsidRPr="00E50488">
        <w:rPr>
          <w:rFonts w:ascii="Courier New" w:hAnsi="Courier New" w:cs="Courier New"/>
          <w:color w:val="000000" w:themeColor="text1"/>
          <w:sz w:val="24"/>
          <w:szCs w:val="24"/>
        </w:rPr>
        <w:t>rabajadores de casinos de juegos</w:t>
      </w:r>
      <w:r w:rsidR="00653EA5" w:rsidRPr="00E50488">
        <w:rPr>
          <w:rFonts w:ascii="Courier New" w:hAnsi="Courier New" w:cs="Courier New"/>
          <w:color w:val="000000" w:themeColor="text1"/>
          <w:sz w:val="24"/>
          <w:szCs w:val="24"/>
        </w:rPr>
        <w:t>”.</w:t>
      </w:r>
    </w:p>
    <w:p w:rsidR="00773698" w:rsidRPr="00E50488" w:rsidRDefault="00E50488" w:rsidP="00341280">
      <w:pPr>
        <w:jc w:val="both"/>
        <w:rPr>
          <w:rFonts w:ascii="Courier New" w:hAnsi="Courier New" w:cs="Courier New"/>
          <w:color w:val="000000" w:themeColor="text1"/>
          <w:sz w:val="24"/>
          <w:szCs w:val="24"/>
        </w:rPr>
      </w:pPr>
      <w:r w:rsidRPr="00E50488">
        <w:rPr>
          <w:rFonts w:ascii="Courier New" w:hAnsi="Courier New" w:cs="Courier New"/>
          <w:color w:val="000000" w:themeColor="text1"/>
          <w:sz w:val="24"/>
          <w:szCs w:val="24"/>
        </w:rPr>
        <w:t xml:space="preserve">         </w:t>
      </w:r>
      <w:r w:rsidR="00653EA5" w:rsidRPr="00E50488">
        <w:rPr>
          <w:rFonts w:ascii="Courier New" w:hAnsi="Courier New" w:cs="Courier New"/>
          <w:color w:val="000000" w:themeColor="text1"/>
          <w:sz w:val="24"/>
          <w:szCs w:val="24"/>
        </w:rPr>
        <w:t>Los respectivos operadores</w:t>
      </w:r>
      <w:r w:rsidR="00B76D25" w:rsidRPr="00E50488">
        <w:rPr>
          <w:rFonts w:ascii="Courier New" w:hAnsi="Courier New" w:cs="Courier New"/>
          <w:color w:val="000000" w:themeColor="text1"/>
          <w:sz w:val="24"/>
          <w:szCs w:val="24"/>
        </w:rPr>
        <w:t>,</w:t>
      </w:r>
      <w:r w:rsidR="00653EA5" w:rsidRPr="00E50488">
        <w:rPr>
          <w:rFonts w:ascii="Courier New" w:hAnsi="Courier New" w:cs="Courier New"/>
          <w:color w:val="000000" w:themeColor="text1"/>
          <w:sz w:val="24"/>
          <w:szCs w:val="24"/>
        </w:rPr>
        <w:t xml:space="preserve"> deberán desarrollar actividades</w:t>
      </w:r>
      <w:r w:rsidR="00B76D25" w:rsidRPr="00E50488">
        <w:rPr>
          <w:rFonts w:ascii="Courier New" w:hAnsi="Courier New" w:cs="Courier New"/>
          <w:color w:val="000000" w:themeColor="text1"/>
          <w:sz w:val="24"/>
          <w:szCs w:val="24"/>
        </w:rPr>
        <w:t xml:space="preserve"> </w:t>
      </w:r>
      <w:r w:rsidR="00653EA5" w:rsidRPr="00E50488">
        <w:rPr>
          <w:rFonts w:ascii="Courier New" w:hAnsi="Courier New" w:cs="Courier New"/>
          <w:color w:val="000000" w:themeColor="text1"/>
          <w:sz w:val="24"/>
          <w:szCs w:val="24"/>
        </w:rPr>
        <w:t>de conmemoración y que fomenten el reconocimiento,</w:t>
      </w:r>
      <w:r w:rsidR="00B76D25" w:rsidRPr="00E50488">
        <w:rPr>
          <w:rFonts w:ascii="Courier New" w:hAnsi="Courier New" w:cs="Courier New"/>
          <w:color w:val="000000" w:themeColor="text1"/>
          <w:sz w:val="24"/>
          <w:szCs w:val="24"/>
        </w:rPr>
        <w:t xml:space="preserve"> bienestar y seguridad</w:t>
      </w:r>
      <w:r w:rsidR="00653EA5" w:rsidRPr="00E50488">
        <w:rPr>
          <w:rFonts w:ascii="Courier New" w:hAnsi="Courier New" w:cs="Courier New"/>
          <w:color w:val="000000" w:themeColor="text1"/>
          <w:sz w:val="24"/>
          <w:szCs w:val="24"/>
        </w:rPr>
        <w:t xml:space="preserve"> de su actividad laboral</w:t>
      </w:r>
      <w:r w:rsidR="00B76D25" w:rsidRPr="00E50488">
        <w:rPr>
          <w:rFonts w:ascii="Courier New" w:hAnsi="Courier New" w:cs="Courier New"/>
          <w:color w:val="000000" w:themeColor="text1"/>
          <w:sz w:val="24"/>
          <w:szCs w:val="24"/>
        </w:rPr>
        <w:t>.</w:t>
      </w:r>
    </w:p>
    <w:p w:rsidR="00773698" w:rsidRDefault="00773698" w:rsidP="00DC6359">
      <w:pPr>
        <w:jc w:val="both"/>
        <w:rPr>
          <w:rFonts w:ascii="Courier New" w:hAnsi="Courier New" w:cs="Courier New"/>
          <w:color w:val="000000"/>
          <w:sz w:val="24"/>
          <w:szCs w:val="24"/>
        </w:rPr>
      </w:pPr>
    </w:p>
    <w:p w:rsidR="00E50488" w:rsidRDefault="00E50488" w:rsidP="00DC6359">
      <w:pPr>
        <w:jc w:val="both"/>
        <w:rPr>
          <w:rFonts w:ascii="Courier New" w:hAnsi="Courier New" w:cs="Courier New"/>
          <w:color w:val="000000"/>
          <w:sz w:val="24"/>
          <w:szCs w:val="24"/>
        </w:rPr>
      </w:pPr>
    </w:p>
    <w:p w:rsidR="00773698" w:rsidRDefault="00773698" w:rsidP="00140804">
      <w:pPr>
        <w:rPr>
          <w:rFonts w:ascii="Georgia" w:hAnsi="Georgia" w:cs="Courier New"/>
          <w:color w:val="000000"/>
        </w:rPr>
      </w:pPr>
    </w:p>
    <w:p w:rsidR="00773698" w:rsidRPr="00870B88" w:rsidRDefault="00773698" w:rsidP="00DC6359">
      <w:pPr>
        <w:jc w:val="center"/>
        <w:rPr>
          <w:rFonts w:ascii="Georgia" w:hAnsi="Georgia" w:cs="Courier New"/>
          <w:color w:val="000000"/>
          <w:sz w:val="24"/>
          <w:szCs w:val="24"/>
        </w:rPr>
      </w:pPr>
      <w:r w:rsidRPr="00870B88">
        <w:rPr>
          <w:rFonts w:ascii="Georgia" w:hAnsi="Georgia" w:cs="Courier New"/>
          <w:color w:val="000000"/>
          <w:sz w:val="24"/>
          <w:szCs w:val="24"/>
        </w:rPr>
        <w:t>JUAN LUIS CASTRO</w:t>
      </w:r>
    </w:p>
    <w:p w:rsidR="00773698" w:rsidRPr="00870B88" w:rsidRDefault="00773698" w:rsidP="00DC6359">
      <w:pPr>
        <w:jc w:val="center"/>
        <w:rPr>
          <w:rFonts w:ascii="Georgia" w:hAnsi="Georgia" w:cs="Courier New"/>
          <w:color w:val="000000"/>
          <w:sz w:val="24"/>
          <w:szCs w:val="24"/>
        </w:rPr>
      </w:pPr>
      <w:r w:rsidRPr="00870B88">
        <w:rPr>
          <w:rFonts w:ascii="Georgia" w:hAnsi="Georgia" w:cs="Courier New"/>
          <w:color w:val="000000"/>
          <w:sz w:val="24"/>
          <w:szCs w:val="24"/>
        </w:rPr>
        <w:t>DIPUTADO DE LA REPÚBLICA</w:t>
      </w:r>
    </w:p>
    <w:p w:rsidR="00773698" w:rsidRDefault="00773698"/>
    <w:sectPr w:rsidR="00773698" w:rsidSect="00D011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AF" w:rsidRDefault="004557AF" w:rsidP="006D57E4">
      <w:pPr>
        <w:spacing w:after="0" w:line="240" w:lineRule="auto"/>
      </w:pPr>
      <w:r>
        <w:separator/>
      </w:r>
    </w:p>
  </w:endnote>
  <w:endnote w:type="continuationSeparator" w:id="0">
    <w:p w:rsidR="004557AF" w:rsidRDefault="004557AF" w:rsidP="006D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AF" w:rsidRDefault="004557AF" w:rsidP="006D57E4">
      <w:pPr>
        <w:spacing w:after="0" w:line="240" w:lineRule="auto"/>
      </w:pPr>
      <w:r>
        <w:separator/>
      </w:r>
    </w:p>
  </w:footnote>
  <w:footnote w:type="continuationSeparator" w:id="0">
    <w:p w:rsidR="004557AF" w:rsidRDefault="004557AF" w:rsidP="006D57E4">
      <w:pPr>
        <w:spacing w:after="0" w:line="240" w:lineRule="auto"/>
      </w:pPr>
      <w:r>
        <w:continuationSeparator/>
      </w:r>
    </w:p>
  </w:footnote>
  <w:footnote w:id="1">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rPr>
        <w:t xml:space="preserve"> PINILLA, Francisca. Las Municipalidades y los Juegos de Azar. Tesis (Licenciatura en ciencias jurídicas). Santiago, Chile. Universidad de Chile, Facultad de Derecho, 2016. 15 p.</w:t>
      </w:r>
    </w:p>
  </w:footnote>
  <w:footnote w:id="2">
    <w:p w:rsidR="00773698" w:rsidRPr="00341280" w:rsidRDefault="00773698" w:rsidP="00341280">
      <w:pPr>
        <w:pStyle w:val="Textonotapie"/>
        <w:jc w:val="both"/>
        <w:rPr>
          <w:rFonts w:ascii="Georgia" w:hAnsi="Georgia"/>
          <w:sz w:val="18"/>
          <w:szCs w:val="18"/>
        </w:rPr>
      </w:pPr>
      <w:r w:rsidRPr="00341280">
        <w:rPr>
          <w:rStyle w:val="Refdenotaalpie"/>
          <w:rFonts w:ascii="Georgia" w:hAnsi="Georgia"/>
          <w:sz w:val="18"/>
          <w:szCs w:val="18"/>
        </w:rPr>
        <w:footnoteRef/>
      </w:r>
      <w:r w:rsidRPr="00341280">
        <w:rPr>
          <w:rFonts w:ascii="Georgia" w:hAnsi="Georgia"/>
          <w:sz w:val="18"/>
          <w:szCs w:val="18"/>
        </w:rPr>
        <w:t xml:space="preserve">1ª Timoteo 6:10; </w:t>
      </w:r>
    </w:p>
    <w:p w:rsidR="00773698" w:rsidRPr="00341280" w:rsidRDefault="00773698" w:rsidP="00341280">
      <w:pPr>
        <w:pStyle w:val="Textonotapie"/>
        <w:jc w:val="both"/>
        <w:rPr>
          <w:rFonts w:ascii="Georgia" w:hAnsi="Georgia"/>
          <w:sz w:val="18"/>
          <w:szCs w:val="18"/>
        </w:rPr>
      </w:pPr>
      <w:r w:rsidRPr="00341280">
        <w:rPr>
          <w:rFonts w:ascii="Georgia" w:hAnsi="Georgia"/>
          <w:sz w:val="18"/>
          <w:szCs w:val="18"/>
        </w:rPr>
        <w:t>Hebreos 13:5;</w:t>
      </w:r>
    </w:p>
    <w:p w:rsidR="00773698" w:rsidRPr="00341280" w:rsidRDefault="00773698" w:rsidP="00341280">
      <w:pPr>
        <w:pStyle w:val="Textonotapie"/>
        <w:jc w:val="both"/>
        <w:rPr>
          <w:rFonts w:ascii="Georgia" w:hAnsi="Georgia"/>
          <w:sz w:val="18"/>
          <w:szCs w:val="18"/>
        </w:rPr>
      </w:pPr>
      <w:r w:rsidRPr="00341280">
        <w:rPr>
          <w:rFonts w:ascii="Georgia" w:hAnsi="Georgia"/>
          <w:sz w:val="18"/>
          <w:szCs w:val="18"/>
        </w:rPr>
        <w:t xml:space="preserve">Proverbios 13:11; 23:4-5; </w:t>
      </w:r>
    </w:p>
    <w:p w:rsidR="00773698" w:rsidRPr="00341280" w:rsidRDefault="00773698" w:rsidP="00341280">
      <w:pPr>
        <w:pStyle w:val="Textonotapie"/>
        <w:jc w:val="both"/>
        <w:rPr>
          <w:rFonts w:ascii="Georgia" w:hAnsi="Georgia"/>
          <w:sz w:val="18"/>
          <w:szCs w:val="18"/>
        </w:rPr>
      </w:pPr>
      <w:r w:rsidRPr="00341280">
        <w:rPr>
          <w:rFonts w:ascii="Georgia" w:hAnsi="Georgia"/>
          <w:sz w:val="18"/>
          <w:szCs w:val="18"/>
        </w:rPr>
        <w:t>Eclesiastés 5:10</w:t>
      </w:r>
    </w:p>
    <w:p w:rsidR="00773698" w:rsidRDefault="00773698" w:rsidP="00341280">
      <w:pPr>
        <w:pStyle w:val="Textonotapie"/>
        <w:jc w:val="both"/>
      </w:pPr>
      <w:r w:rsidRPr="00341280">
        <w:rPr>
          <w:rFonts w:ascii="Georgia" w:hAnsi="Georgia"/>
          <w:sz w:val="18"/>
          <w:szCs w:val="18"/>
        </w:rPr>
        <w:t>Proverbios 16:33.</w:t>
      </w:r>
    </w:p>
  </w:footnote>
  <w:footnote w:id="3">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rPr>
        <w:t>MOULIAN, Tomás. El consumo me consume. Santiago de Chile, LOM, 1998. 14 p.</w:t>
      </w:r>
    </w:p>
  </w:footnote>
  <w:footnote w:id="4">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rPr>
        <w:t xml:space="preserve">Ídem. 14-15 p. </w:t>
      </w:r>
    </w:p>
  </w:footnote>
  <w:footnote w:id="5">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lang w:val="es-ES_tradnl"/>
        </w:rPr>
        <w:t>SCJ. Informe de la Industria de Casinos de Juego. Santiago de Chile, junio de  2017. 17 p.</w:t>
      </w:r>
    </w:p>
  </w:footnote>
  <w:footnote w:id="6">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rPr>
        <w:t>https://www.bcn.cl/leyfacil/recurso/trabajadores-de-restaurantes-y-de-turismo</w:t>
      </w:r>
    </w:p>
  </w:footnote>
  <w:footnote w:id="7">
    <w:p w:rsidR="00773698" w:rsidRDefault="00773698" w:rsidP="00341280">
      <w:pPr>
        <w:pStyle w:val="Textonotapie"/>
        <w:jc w:val="both"/>
      </w:pPr>
      <w:r w:rsidRPr="00341280">
        <w:rPr>
          <w:rStyle w:val="Refdenotaalpie"/>
          <w:rFonts w:ascii="Georgia" w:hAnsi="Georgia"/>
          <w:sz w:val="18"/>
          <w:szCs w:val="18"/>
        </w:rPr>
        <w:footnoteRef/>
      </w:r>
      <w:r w:rsidRPr="00341280">
        <w:rPr>
          <w:rFonts w:ascii="Georgia" w:hAnsi="Georgia"/>
          <w:sz w:val="18"/>
          <w:szCs w:val="18"/>
          <w:lang w:val="es-ES_tradnl"/>
        </w:rPr>
        <w:t>Cooperativa. Trabajadores de casinos: La violencia y las amenazas son pan de cada día. 5 de julio de 2017. Disponible en: Trabajadores de casinos: La violencia y las amenazas son pan de cada día.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02"/>
    <w:rsid w:val="00016B5D"/>
    <w:rsid w:val="00031138"/>
    <w:rsid w:val="000341FE"/>
    <w:rsid w:val="00063202"/>
    <w:rsid w:val="000B47E6"/>
    <w:rsid w:val="000E2F7D"/>
    <w:rsid w:val="0010303A"/>
    <w:rsid w:val="00140804"/>
    <w:rsid w:val="00154C53"/>
    <w:rsid w:val="001C6DCA"/>
    <w:rsid w:val="001D1131"/>
    <w:rsid w:val="0021415F"/>
    <w:rsid w:val="002328AE"/>
    <w:rsid w:val="00246ADF"/>
    <w:rsid w:val="00276AE4"/>
    <w:rsid w:val="002843D5"/>
    <w:rsid w:val="00341280"/>
    <w:rsid w:val="003647F2"/>
    <w:rsid w:val="003A757E"/>
    <w:rsid w:val="003A760A"/>
    <w:rsid w:val="004557AF"/>
    <w:rsid w:val="00473BB6"/>
    <w:rsid w:val="004C4B2F"/>
    <w:rsid w:val="00513AAD"/>
    <w:rsid w:val="0055205E"/>
    <w:rsid w:val="005610B9"/>
    <w:rsid w:val="005945E5"/>
    <w:rsid w:val="00653EA5"/>
    <w:rsid w:val="00655E10"/>
    <w:rsid w:val="006663BA"/>
    <w:rsid w:val="00667A7E"/>
    <w:rsid w:val="00670A3D"/>
    <w:rsid w:val="006B7640"/>
    <w:rsid w:val="006D57E4"/>
    <w:rsid w:val="00752938"/>
    <w:rsid w:val="00773698"/>
    <w:rsid w:val="00844FFB"/>
    <w:rsid w:val="00870B88"/>
    <w:rsid w:val="00885DEE"/>
    <w:rsid w:val="008C26F0"/>
    <w:rsid w:val="00902AEC"/>
    <w:rsid w:val="00967084"/>
    <w:rsid w:val="00992167"/>
    <w:rsid w:val="009A161D"/>
    <w:rsid w:val="009A5839"/>
    <w:rsid w:val="00A14F7A"/>
    <w:rsid w:val="00A87668"/>
    <w:rsid w:val="00A956AA"/>
    <w:rsid w:val="00AD0C2C"/>
    <w:rsid w:val="00B76D25"/>
    <w:rsid w:val="00BA174A"/>
    <w:rsid w:val="00C022F9"/>
    <w:rsid w:val="00C3600F"/>
    <w:rsid w:val="00C578DF"/>
    <w:rsid w:val="00C914E5"/>
    <w:rsid w:val="00CE0FDB"/>
    <w:rsid w:val="00CF0EA3"/>
    <w:rsid w:val="00D011EA"/>
    <w:rsid w:val="00D559DA"/>
    <w:rsid w:val="00D63B6C"/>
    <w:rsid w:val="00D748B7"/>
    <w:rsid w:val="00DA3061"/>
    <w:rsid w:val="00DA7BFC"/>
    <w:rsid w:val="00DC6359"/>
    <w:rsid w:val="00DD74BE"/>
    <w:rsid w:val="00DF3F71"/>
    <w:rsid w:val="00E36B46"/>
    <w:rsid w:val="00E50488"/>
    <w:rsid w:val="00E7536D"/>
    <w:rsid w:val="00EA5CE2"/>
    <w:rsid w:val="00EA627D"/>
    <w:rsid w:val="00F9558D"/>
    <w:rsid w:val="00F95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F7BA41-75E5-4B6E-9D10-CF0EDF9F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59"/>
    <w:pPr>
      <w:spacing w:after="160" w:line="254"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13AAD"/>
    <w:pPr>
      <w:ind w:left="720"/>
      <w:contextualSpacing/>
    </w:pPr>
  </w:style>
  <w:style w:type="paragraph" w:styleId="Textonotapie">
    <w:name w:val="footnote text"/>
    <w:basedOn w:val="Normal"/>
    <w:link w:val="TextonotapieCar"/>
    <w:uiPriority w:val="99"/>
    <w:rsid w:val="006D57E4"/>
    <w:pPr>
      <w:spacing w:after="0" w:line="240" w:lineRule="auto"/>
    </w:pPr>
    <w:rPr>
      <w:sz w:val="24"/>
      <w:szCs w:val="24"/>
    </w:rPr>
  </w:style>
  <w:style w:type="character" w:customStyle="1" w:styleId="TextonotapieCar">
    <w:name w:val="Texto nota pie Car"/>
    <w:basedOn w:val="Fuentedeprrafopredeter"/>
    <w:link w:val="Textonotapie"/>
    <w:uiPriority w:val="99"/>
    <w:locked/>
    <w:rsid w:val="006D57E4"/>
    <w:rPr>
      <w:rFonts w:ascii="Calibri" w:eastAsia="Times New Roman" w:hAnsi="Calibri" w:cs="Times New Roman"/>
      <w:sz w:val="24"/>
      <w:szCs w:val="24"/>
    </w:rPr>
  </w:style>
  <w:style w:type="character" w:styleId="Refdenotaalpie">
    <w:name w:val="footnote reference"/>
    <w:basedOn w:val="Fuentedeprrafopredeter"/>
    <w:uiPriority w:val="99"/>
    <w:rsid w:val="006D57E4"/>
    <w:rPr>
      <w:rFonts w:cs="Times New Roman"/>
      <w:vertAlign w:val="superscript"/>
    </w:rPr>
  </w:style>
  <w:style w:type="paragraph" w:styleId="HTMLconformatoprevio">
    <w:name w:val="HTML Preformatted"/>
    <w:basedOn w:val="Normal"/>
    <w:link w:val="HTMLconformatoprevioCar"/>
    <w:uiPriority w:val="99"/>
    <w:semiHidden/>
    <w:rsid w:val="0010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locked/>
    <w:rsid w:val="0010303A"/>
    <w:rPr>
      <w:rFonts w:ascii="Courier New"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6915">
      <w:marLeft w:val="0"/>
      <w:marRight w:val="0"/>
      <w:marTop w:val="0"/>
      <w:marBottom w:val="0"/>
      <w:divBdr>
        <w:top w:val="none" w:sz="0" w:space="0" w:color="auto"/>
        <w:left w:val="none" w:sz="0" w:space="0" w:color="auto"/>
        <w:bottom w:val="none" w:sz="0" w:space="0" w:color="auto"/>
        <w:right w:val="none" w:sz="0" w:space="0" w:color="auto"/>
      </w:divBdr>
    </w:div>
    <w:div w:id="565186917">
      <w:marLeft w:val="0"/>
      <w:marRight w:val="0"/>
      <w:marTop w:val="0"/>
      <w:marBottom w:val="0"/>
      <w:divBdr>
        <w:top w:val="none" w:sz="0" w:space="0" w:color="auto"/>
        <w:left w:val="none" w:sz="0" w:space="0" w:color="auto"/>
        <w:bottom w:val="none" w:sz="0" w:space="0" w:color="auto"/>
        <w:right w:val="none" w:sz="0" w:space="0" w:color="auto"/>
      </w:divBdr>
    </w:div>
    <w:div w:id="565186919">
      <w:marLeft w:val="0"/>
      <w:marRight w:val="0"/>
      <w:marTop w:val="0"/>
      <w:marBottom w:val="0"/>
      <w:divBdr>
        <w:top w:val="none" w:sz="0" w:space="0" w:color="auto"/>
        <w:left w:val="none" w:sz="0" w:space="0" w:color="auto"/>
        <w:bottom w:val="none" w:sz="0" w:space="0" w:color="auto"/>
        <w:right w:val="none" w:sz="0" w:space="0" w:color="auto"/>
      </w:divBdr>
    </w:div>
    <w:div w:id="565186920">
      <w:marLeft w:val="0"/>
      <w:marRight w:val="0"/>
      <w:marTop w:val="0"/>
      <w:marBottom w:val="0"/>
      <w:divBdr>
        <w:top w:val="none" w:sz="0" w:space="0" w:color="auto"/>
        <w:left w:val="none" w:sz="0" w:space="0" w:color="auto"/>
        <w:bottom w:val="none" w:sz="0" w:space="0" w:color="auto"/>
        <w:right w:val="none" w:sz="0" w:space="0" w:color="auto"/>
      </w:divBdr>
    </w:div>
    <w:div w:id="565186921">
      <w:marLeft w:val="0"/>
      <w:marRight w:val="0"/>
      <w:marTop w:val="0"/>
      <w:marBottom w:val="0"/>
      <w:divBdr>
        <w:top w:val="none" w:sz="0" w:space="0" w:color="auto"/>
        <w:left w:val="none" w:sz="0" w:space="0" w:color="auto"/>
        <w:bottom w:val="none" w:sz="0" w:space="0" w:color="auto"/>
        <w:right w:val="none" w:sz="0" w:space="0" w:color="auto"/>
      </w:divBdr>
    </w:div>
    <w:div w:id="565186923">
      <w:marLeft w:val="0"/>
      <w:marRight w:val="0"/>
      <w:marTop w:val="0"/>
      <w:marBottom w:val="0"/>
      <w:divBdr>
        <w:top w:val="none" w:sz="0" w:space="0" w:color="auto"/>
        <w:left w:val="none" w:sz="0" w:space="0" w:color="auto"/>
        <w:bottom w:val="none" w:sz="0" w:space="0" w:color="auto"/>
        <w:right w:val="none" w:sz="0" w:space="0" w:color="auto"/>
      </w:divBdr>
    </w:div>
    <w:div w:id="565186926">
      <w:marLeft w:val="0"/>
      <w:marRight w:val="0"/>
      <w:marTop w:val="0"/>
      <w:marBottom w:val="0"/>
      <w:divBdr>
        <w:top w:val="none" w:sz="0" w:space="0" w:color="auto"/>
        <w:left w:val="none" w:sz="0" w:space="0" w:color="auto"/>
        <w:bottom w:val="none" w:sz="0" w:space="0" w:color="auto"/>
        <w:right w:val="none" w:sz="0" w:space="0" w:color="auto"/>
      </w:divBdr>
    </w:div>
    <w:div w:id="565186927">
      <w:marLeft w:val="0"/>
      <w:marRight w:val="0"/>
      <w:marTop w:val="0"/>
      <w:marBottom w:val="0"/>
      <w:divBdr>
        <w:top w:val="none" w:sz="0" w:space="0" w:color="auto"/>
        <w:left w:val="none" w:sz="0" w:space="0" w:color="auto"/>
        <w:bottom w:val="none" w:sz="0" w:space="0" w:color="auto"/>
        <w:right w:val="none" w:sz="0" w:space="0" w:color="auto"/>
      </w:divBdr>
    </w:div>
    <w:div w:id="565186928">
      <w:marLeft w:val="0"/>
      <w:marRight w:val="0"/>
      <w:marTop w:val="0"/>
      <w:marBottom w:val="0"/>
      <w:divBdr>
        <w:top w:val="none" w:sz="0" w:space="0" w:color="auto"/>
        <w:left w:val="none" w:sz="0" w:space="0" w:color="auto"/>
        <w:bottom w:val="none" w:sz="0" w:space="0" w:color="auto"/>
        <w:right w:val="none" w:sz="0" w:space="0" w:color="auto"/>
      </w:divBdr>
      <w:divsChild>
        <w:div w:id="565186914">
          <w:marLeft w:val="600"/>
          <w:marRight w:val="0"/>
          <w:marTop w:val="450"/>
          <w:marBottom w:val="450"/>
          <w:divBdr>
            <w:top w:val="none" w:sz="0" w:space="0" w:color="auto"/>
            <w:left w:val="none" w:sz="0" w:space="0" w:color="auto"/>
            <w:bottom w:val="none" w:sz="0" w:space="0" w:color="auto"/>
            <w:right w:val="none" w:sz="0" w:space="0" w:color="auto"/>
          </w:divBdr>
          <w:divsChild>
            <w:div w:id="565186916">
              <w:marLeft w:val="0"/>
              <w:marRight w:val="0"/>
              <w:marTop w:val="0"/>
              <w:marBottom w:val="0"/>
              <w:divBdr>
                <w:top w:val="none" w:sz="0" w:space="0" w:color="auto"/>
                <w:left w:val="none" w:sz="0" w:space="0" w:color="auto"/>
                <w:bottom w:val="none" w:sz="0" w:space="0" w:color="auto"/>
                <w:right w:val="none" w:sz="0" w:space="0" w:color="auto"/>
              </w:divBdr>
            </w:div>
          </w:divsChild>
        </w:div>
        <w:div w:id="565186918">
          <w:marLeft w:val="0"/>
          <w:marRight w:val="0"/>
          <w:marTop w:val="0"/>
          <w:marBottom w:val="0"/>
          <w:divBdr>
            <w:top w:val="none" w:sz="0" w:space="0" w:color="auto"/>
            <w:left w:val="none" w:sz="0" w:space="0" w:color="auto"/>
            <w:bottom w:val="single" w:sz="6" w:space="0" w:color="0066FF"/>
            <w:right w:val="none" w:sz="0" w:space="0" w:color="auto"/>
          </w:divBdr>
        </w:div>
        <w:div w:id="565186924">
          <w:marLeft w:val="0"/>
          <w:marRight w:val="0"/>
          <w:marTop w:val="0"/>
          <w:marBottom w:val="450"/>
          <w:divBdr>
            <w:top w:val="none" w:sz="0" w:space="0" w:color="auto"/>
            <w:left w:val="none" w:sz="0" w:space="0" w:color="auto"/>
            <w:bottom w:val="none" w:sz="0" w:space="0" w:color="auto"/>
            <w:right w:val="none" w:sz="0" w:space="0" w:color="auto"/>
          </w:divBdr>
        </w:div>
        <w:div w:id="565186925">
          <w:marLeft w:val="0"/>
          <w:marRight w:val="0"/>
          <w:marTop w:val="0"/>
          <w:marBottom w:val="0"/>
          <w:divBdr>
            <w:top w:val="none" w:sz="0" w:space="0" w:color="auto"/>
            <w:left w:val="none" w:sz="0" w:space="0" w:color="auto"/>
            <w:bottom w:val="none" w:sz="0" w:space="0" w:color="auto"/>
            <w:right w:val="none" w:sz="0" w:space="0" w:color="auto"/>
          </w:divBdr>
          <w:divsChild>
            <w:div w:id="565186922">
              <w:marLeft w:val="0"/>
              <w:marRight w:val="0"/>
              <w:marTop w:val="0"/>
              <w:marBottom w:val="525"/>
              <w:divBdr>
                <w:top w:val="none" w:sz="0" w:space="0" w:color="auto"/>
                <w:left w:val="none" w:sz="0" w:space="0" w:color="auto"/>
                <w:bottom w:val="none" w:sz="0" w:space="0" w:color="auto"/>
                <w:right w:val="none" w:sz="0" w:space="0" w:color="auto"/>
              </w:divBdr>
            </w:div>
          </w:divsChild>
        </w:div>
        <w:div w:id="565186930">
          <w:marLeft w:val="0"/>
          <w:marRight w:val="0"/>
          <w:marTop w:val="0"/>
          <w:marBottom w:val="0"/>
          <w:divBdr>
            <w:top w:val="none" w:sz="0" w:space="0" w:color="auto"/>
            <w:left w:val="none" w:sz="0" w:space="0" w:color="auto"/>
            <w:bottom w:val="none" w:sz="0" w:space="0" w:color="auto"/>
            <w:right w:val="none" w:sz="0" w:space="0" w:color="auto"/>
          </w:divBdr>
          <w:divsChild>
            <w:div w:id="565186935">
              <w:marLeft w:val="0"/>
              <w:marRight w:val="0"/>
              <w:marTop w:val="225"/>
              <w:marBottom w:val="300"/>
              <w:divBdr>
                <w:top w:val="none" w:sz="0" w:space="0" w:color="auto"/>
                <w:left w:val="none" w:sz="0" w:space="0" w:color="auto"/>
                <w:bottom w:val="none" w:sz="0" w:space="0" w:color="auto"/>
                <w:right w:val="none" w:sz="0" w:space="0" w:color="auto"/>
              </w:divBdr>
              <w:divsChild>
                <w:div w:id="565186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65186929">
      <w:marLeft w:val="0"/>
      <w:marRight w:val="0"/>
      <w:marTop w:val="0"/>
      <w:marBottom w:val="0"/>
      <w:divBdr>
        <w:top w:val="none" w:sz="0" w:space="0" w:color="auto"/>
        <w:left w:val="none" w:sz="0" w:space="0" w:color="auto"/>
        <w:bottom w:val="none" w:sz="0" w:space="0" w:color="auto"/>
        <w:right w:val="none" w:sz="0" w:space="0" w:color="auto"/>
      </w:divBdr>
    </w:div>
    <w:div w:id="565186931">
      <w:marLeft w:val="0"/>
      <w:marRight w:val="0"/>
      <w:marTop w:val="0"/>
      <w:marBottom w:val="0"/>
      <w:divBdr>
        <w:top w:val="none" w:sz="0" w:space="0" w:color="auto"/>
        <w:left w:val="none" w:sz="0" w:space="0" w:color="auto"/>
        <w:bottom w:val="none" w:sz="0" w:space="0" w:color="auto"/>
        <w:right w:val="none" w:sz="0" w:space="0" w:color="auto"/>
      </w:divBdr>
    </w:div>
    <w:div w:id="565186933">
      <w:marLeft w:val="0"/>
      <w:marRight w:val="0"/>
      <w:marTop w:val="0"/>
      <w:marBottom w:val="0"/>
      <w:divBdr>
        <w:top w:val="none" w:sz="0" w:space="0" w:color="auto"/>
        <w:left w:val="none" w:sz="0" w:space="0" w:color="auto"/>
        <w:bottom w:val="none" w:sz="0" w:space="0" w:color="auto"/>
        <w:right w:val="none" w:sz="0" w:space="0" w:color="auto"/>
      </w:divBdr>
    </w:div>
    <w:div w:id="565186934">
      <w:marLeft w:val="0"/>
      <w:marRight w:val="0"/>
      <w:marTop w:val="0"/>
      <w:marBottom w:val="0"/>
      <w:divBdr>
        <w:top w:val="none" w:sz="0" w:space="0" w:color="auto"/>
        <w:left w:val="none" w:sz="0" w:space="0" w:color="auto"/>
        <w:bottom w:val="none" w:sz="0" w:space="0" w:color="auto"/>
        <w:right w:val="none" w:sz="0" w:space="0" w:color="auto"/>
      </w:divBdr>
    </w:div>
    <w:div w:id="565186936">
      <w:marLeft w:val="0"/>
      <w:marRight w:val="0"/>
      <w:marTop w:val="0"/>
      <w:marBottom w:val="0"/>
      <w:divBdr>
        <w:top w:val="none" w:sz="0" w:space="0" w:color="auto"/>
        <w:left w:val="none" w:sz="0" w:space="0" w:color="auto"/>
        <w:bottom w:val="none" w:sz="0" w:space="0" w:color="auto"/>
        <w:right w:val="none" w:sz="0" w:space="0" w:color="auto"/>
      </w:divBdr>
    </w:div>
    <w:div w:id="565186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4954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Socialista</dc:creator>
  <cp:lastModifiedBy>Leonardo Lueiza Ureta</cp:lastModifiedBy>
  <cp:revision>3</cp:revision>
  <dcterms:created xsi:type="dcterms:W3CDTF">2018-06-21T13:58:00Z</dcterms:created>
  <dcterms:modified xsi:type="dcterms:W3CDTF">2018-06-29T20:27:00Z</dcterms:modified>
</cp:coreProperties>
</file>