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9728F" w:rsidRPr="00565981" w:rsidRDefault="0099728F" w:rsidP="0056598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es-CL"/>
        </w:rPr>
      </w:pPr>
    </w:p>
    <w:p w:rsidR="00383A04" w:rsidRPr="003456F5" w:rsidRDefault="003456F5" w:rsidP="0056598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  <w:r w:rsidRPr="003456F5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>Modifica la ley N°19.885, para incorporar a las entidades sin fines de lucro que presten servicios a adultos mayores y personas con consumo problemático de alcohol y drogas, como beneficiarias de las donaciones a que se refiere dicho texto legal</w:t>
      </w:r>
    </w:p>
    <w:p w:rsidR="003456F5" w:rsidRPr="003456F5" w:rsidRDefault="003456F5" w:rsidP="0056598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>Boletín N°11838-05</w:t>
      </w:r>
      <w:bookmarkStart w:id="0" w:name="_GoBack"/>
      <w:bookmarkEnd w:id="0"/>
    </w:p>
    <w:p w:rsidR="003456F5" w:rsidRPr="003130AF" w:rsidRDefault="003456F5" w:rsidP="00565981">
      <w:pPr>
        <w:spacing w:before="100" w:beforeAutospacing="1" w:after="100" w:afterAutospacing="1" w:line="240" w:lineRule="auto"/>
        <w:jc w:val="center"/>
        <w:rPr>
          <w:rFonts w:ascii="Century Gothic" w:eastAsia="Times New Roman" w:hAnsi="Century Gothic" w:cstheme="minorHAnsi"/>
          <w:b/>
          <w:bCs/>
          <w:color w:val="000000"/>
          <w:sz w:val="28"/>
          <w:szCs w:val="28"/>
          <w:u w:val="single"/>
          <w:lang w:eastAsia="es-CL"/>
        </w:rPr>
      </w:pPr>
    </w:p>
    <w:p w:rsidR="00E24994" w:rsidRDefault="00666CA3" w:rsidP="00666CA3">
      <w:pPr>
        <w:tabs>
          <w:tab w:val="left" w:pos="6272"/>
        </w:tabs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ab/>
      </w:r>
    </w:p>
    <w:p w:rsidR="003130AF" w:rsidRDefault="003130AF" w:rsidP="00565981">
      <w:pPr>
        <w:spacing w:before="100" w:beforeAutospacing="1" w:after="100" w:afterAutospacing="1" w:line="240" w:lineRule="auto"/>
        <w:jc w:val="both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</w:p>
    <w:p w:rsidR="0078693C" w:rsidRPr="00565981" w:rsidRDefault="0078693C" w:rsidP="00A428ED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  <w:r w:rsidRPr="00565981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 xml:space="preserve">ANTECEDENTES. </w:t>
      </w:r>
    </w:p>
    <w:p w:rsidR="003130AF" w:rsidRDefault="00A36349" w:rsidP="003130A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Chile, al igual que en el resto del mundo, sabemos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el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profundo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daño que produce la adicción a las drogas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</w:t>
      </w:r>
      <w:r w:rsidR="003130A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el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alcohol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no tan solo para la salud de las personas en particular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sino que también el efecto expansivo que provoca su consumo, tanto a su círculo familiar, afectivo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laboral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finalmente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la sociedad en su conjunto. Mas grave resulta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cuando esta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adicción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afecta a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nuestros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jóvenes, quienes a temprana edad merman su futuro y condicionan su vida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debido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al consumo de drogas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alcohol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por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lo cual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resulta gravitante que existan programas pertinentes, establecimientos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adecuados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profesionales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idóneos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y 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una oferta que otorgue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cobertura nacional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 fin de prevenir y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rehabilita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r aquellos atrapados en el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consumo problemático de drogas</w:t>
      </w:r>
      <w:r w:rsidR="00BF4A12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alcohol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. </w:t>
      </w:r>
      <w:r w:rsidR="003130A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Sobre todo si consideramos que de los 1.4 millones de consumidores del país, cerca de 300 mil presentan una condición problemática.</w:t>
      </w:r>
      <w:r w:rsidR="003130AF">
        <w:rPr>
          <w:rStyle w:val="Refdenotaalpie"/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footnoteReference w:id="1"/>
      </w:r>
      <w:r w:rsidR="003130A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</w:p>
    <w:p w:rsidR="003130AF" w:rsidRDefault="003130AF" w:rsidP="003130A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Tenemos la convicción de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que toda persona tiene la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oportunidad de rec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uperar el control sobre su vida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arrebatada por el consumo problemático de drogas y pueda desarrollarse plenamente, por lo cual consideramos que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programas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destinados a la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prevención y rehabilitación en el consumo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 alcohol y drogas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son prioritarios para nuestro país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principalmente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nuestros jóvenes,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lo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se desenvolverán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el día de mañana  como adultos, con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su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propia familia,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entornos afectivos,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con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relaciones trabajo y en definitiva insertos plenamente en la sociedad, por lo cual no da lo mismo y no r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esulta indiferente como estos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logran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insertan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en ella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.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or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ello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es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importante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que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nuestro país 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pueda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contar con órganos, públicos o privados,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necesarios y pertinentes para abordar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lastRenderedPageBreak/>
        <w:t>eficazmente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la adicción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las drogas, especialmente en la juventud, ya que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esta etapa de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sus vidas es </w:t>
      </w:r>
      <w:r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donde mayor impacto tendrá la prevención y la rehabilitación.</w:t>
      </w:r>
      <w:r w:rsidR="00B23DC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</w:p>
    <w:p w:rsidR="00A42BCF" w:rsidRPr="00565981" w:rsidRDefault="00BF4A12" w:rsidP="00B23DC1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Sin embargo</w:t>
      </w:r>
      <w:r w:rsidR="00A428E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estas condiciones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son difíciles de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reunir y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mantener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en el tiempo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tanto 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el sector público como en el privado,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siendo ello fundamental </w:t>
      </w:r>
      <w:r w:rsidR="003130A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alcanzar un </w:t>
      </w:r>
      <w:r w:rsidR="009E0538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resultado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exitoso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.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Para los particulares l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realidad resulta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desesperanzadora, pues si bien,  se encuentran c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omprometido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con una función social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al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desarrolla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 programas para grupos vulnerables,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principalmente a través de personas jurídicas sin fines de lucro,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estos en su mayoría son autofinanciados</w:t>
      </w:r>
      <w:r w:rsidR="005C663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no pocas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veces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obtienen aportes</w:t>
      </w:r>
      <w:r w:rsidR="005C663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insuficientes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 sus adherentes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desarrollar una labor adecuada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y afrontar est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os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desafío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para el caso del consumo problemático de drogas,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supone - entre otras -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sacar a jóvenes de ambientes precarios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muchas veces hostiles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acogerlos y a partir de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ahí 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comenzar a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trabajar con profesionales adecuados que permitan arribar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una  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rehabilitación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exitosa y ajustada a sus necesidades</w:t>
      </w:r>
      <w:r w:rsidR="004106F7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 P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rofesionales que por lo demás resultan escasos, de alta demanda y con honorarios que son difíciles de mantener por programas que dependen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exclusivamente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 aportes </w:t>
      </w:r>
      <w:r w:rsidR="00E7309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 personas naturales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actividades de 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beneficencia</w:t>
      </w:r>
      <w:r w:rsidR="005C663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filantropía</w:t>
      </w:r>
      <w:r w:rsidR="00A42BC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de donaciones en el general.</w:t>
      </w:r>
    </w:p>
    <w:p w:rsidR="00B3376D" w:rsidRDefault="00A428ED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Lo mismo aplica para los adultos mayores, con quienes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hemos adquirido 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un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gran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compromiso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estableciendo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un nuevo trato para </w:t>
      </w:r>
      <w:r w:rsidR="005C663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con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ellos</w:t>
      </w:r>
      <w:r w:rsidR="00141E9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principalmente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quienes se encuentran 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en situación de vu</w:t>
      </w:r>
      <w:r w:rsidR="00141E9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lnerabilidad social y económica. Además</w:t>
      </w:r>
      <w:r w:rsidR="005C663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="00141E94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porque debemos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dar cumplimiento a la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obligaciones que de buena fe 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asumi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mos al ratificar </w:t>
      </w:r>
      <w:r w:rsid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la Convención Interamericana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sobre la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rotección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 los D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erechos de los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A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dultos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M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ayores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0F2EB6" w:rsidRP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y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en tal sentido,</w:t>
      </w:r>
      <w:r w:rsidR="000F2EB6" w:rsidRP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dar prioridad al tema del envejecimiento en la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 políticas públicas, así como</w:t>
      </w:r>
      <w:r w:rsidR="000F2EB6" w:rsidRPr="000F2EB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destinar y gestionar los recursos humanos, materiales y financieros para lograr una adecuada impleme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ntación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 este instrumento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y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la </w:t>
      </w:r>
      <w:r w:rsidR="00A81BB3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ejecución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 medidas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concretas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efectivizar sus derechos.  </w:t>
      </w:r>
    </w:p>
    <w:p w:rsidR="00B35B06" w:rsidRDefault="00A428ED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Con motivo de lo anterior, es que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debemos generar espacios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la política pública y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efectuar las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modificaciones legales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necesarias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fin de cumplir nuestros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compromisos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internacionales, más </w:t>
      </w:r>
      <w:r w:rsidR="00B3376D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si consideramos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Chile 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es un país que envejece,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no solo en cuanto a su prevalencia sino que también en cuanto a su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expectativa de vida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que 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hoy llega a 80,5 años, la más alta en América Latina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 Situación que va en aumento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ya que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se estima que el número de personas que supera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ran 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os sesenta años </w:t>
      </w:r>
      <w:r w:rsidR="00B35B06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el año 2050,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será uno de cada cuatro chilenos. Cifras que preocupan y nos invita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n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a tomar med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idas y a generar soluciones hoy, mañana será muy tarde.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  </w:t>
      </w:r>
    </w:p>
    <w:p w:rsidR="001E011F" w:rsidRDefault="001E011F" w:rsidP="001E011F">
      <w:pPr>
        <w:spacing w:after="0" w:line="24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</w:p>
    <w:p w:rsidR="00A02A2F" w:rsidRDefault="00A81BB3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En base a los fundamentos entregados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tenemos el deber de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generar las condiciones adecuadas y 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responder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con propuestas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concretas, en este caso particular la propuesta busca promover que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las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personas 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sin fines de lucro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puedan abordar estos fenómenos sociales</w:t>
      </w:r>
      <w:r w:rsidR="0099728F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916ADF" w:rsidRP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través de programas pertinentes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continuos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con profesionales y espacios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idóneos</w:t>
      </w:r>
      <w:r w:rsidR="00916AD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para lograr una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mejor labor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 P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romoción que se encuentra íntimamente determinada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por los fondos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y recursos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que permit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an 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financiar estos proyect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os.</w:t>
      </w:r>
      <w:r w:rsidR="0099728F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Lamentablemente, estos esfuerzos resultan insuficientes y buena parte del financiamiento provienen de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adherentes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 personas naturales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de manera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particular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apoyan estas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instituciones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sus iniciativas, destinadas a jóvenes con consumo problemático de drogas y otras destinadas a la protección de los derechos de adultos mayores, 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las que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prove</w:t>
      </w:r>
      <w:r w:rsidR="00087D5C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proyectos y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programas</w:t>
      </w:r>
      <w:r w:rsidR="00B35B0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para abordar estos desafíos</w:t>
      </w:r>
      <w:r w:rsidR="00A36349" w:rsidRPr="00565981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 Sin embargo, debido al alto costo que resulta financiar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estas iniciativas, son reducidas las instituciones sin fines de lucro que </w:t>
      </w:r>
      <w:proofErr w:type="gramStart"/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desarrollan</w:t>
      </w:r>
      <w:proofErr w:type="gramEnd"/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6A7B9B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estos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programas </w:t>
      </w:r>
      <w:r w:rsidR="006A7B9B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lo que r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educ</w:t>
      </w:r>
      <w:r w:rsidR="006A7B9B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 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la oferta nacional y concentra</w:t>
      </w:r>
      <w:r w:rsidR="006A7B9B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su</w:t>
      </w:r>
      <w:r w:rsidR="007F225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demanda mayormente en el sector público.  </w:t>
      </w:r>
    </w:p>
    <w:p w:rsidR="004017B7" w:rsidRPr="00A428ED" w:rsidRDefault="004017B7" w:rsidP="00755899">
      <w:pPr>
        <w:spacing w:after="0" w:line="240" w:lineRule="auto"/>
        <w:ind w:firstLine="709"/>
        <w:jc w:val="both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 xml:space="preserve">IDEA MATRIZ Y CONTENIDO </w:t>
      </w:r>
      <w:r w:rsidRPr="00A428ED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lang w:eastAsia="es-CL"/>
        </w:rPr>
        <w:t>DE LA INICIATIVA LEGAL</w:t>
      </w:r>
    </w:p>
    <w:p w:rsidR="008746BE" w:rsidRDefault="008746BE" w:rsidP="00755899">
      <w:pPr>
        <w:spacing w:before="240" w:after="240" w:line="360" w:lineRule="auto"/>
        <w:ind w:firstLine="709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La presente iniciativa, tiene por propósito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incorporar </w:t>
      </w:r>
      <w:r w:rsidR="004017B7" w:rsidRP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como beneficiario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</w:t>
      </w:r>
      <w:r w:rsidR="004017B7" w:rsidRP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 donaciones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del art. 2 de le Ley N° 19.885, </w:t>
      </w:r>
      <w:r w:rsidR="004017B7" w:rsidRP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entidades sin fines de lucro que presten servicios para adultos mayores y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para </w:t>
      </w:r>
      <w:r w:rsidR="004017B7" w:rsidRP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personas con consumo problemático de alcohol y drogas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ampliando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las materias que desarrollan las personas jurídicas sin fines de lucro para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ser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considerarlos sujetos beneficiarios de donaciones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(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en los términos del art. 2 de le Ley 19.885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)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y de esta manera ampliar los beneficiarios de estos programas.  </w:t>
      </w:r>
    </w:p>
    <w:p w:rsidR="008746BE" w:rsidRDefault="008746BE" w:rsidP="001E011F">
      <w:pPr>
        <w:spacing w:before="240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Lo anterior dado que c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onsideramos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que actualmente el artículo 2 de 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la ley N° 19.885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tiene un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ámbito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reducido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 aplicación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:</w:t>
      </w:r>
    </w:p>
    <w:p w:rsidR="001E011F" w:rsidRDefault="001E011F" w:rsidP="001E011F">
      <w:pPr>
        <w:spacing w:before="240" w:after="260" w:line="24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</w:p>
    <w:p w:rsidR="00A02A2F" w:rsidRDefault="008746BE" w:rsidP="001E011F">
      <w:pPr>
        <w:spacing w:after="0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1.-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cuanto </w:t>
      </w:r>
      <w:proofErr w:type="spellStart"/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al</w:t>
      </w:r>
      <w:proofErr w:type="spellEnd"/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los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objetivo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deben tener los programas, ya que solo se incluyen proyecto o programas que tengan por finalidad proveer servicios a personas de escasos recursos o con discapacidad.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Y cuando se trata de establecimientos educacionales, se incorpora la materia de la prevención y rehabilitación en el consumo de drogas.</w:t>
      </w:r>
    </w:p>
    <w:p w:rsidR="00A02A2F" w:rsidRDefault="008746BE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2.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- 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cuanto a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los sujetos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que son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b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eneficiarios de las donaciones,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ya que al tratarse solo se incluyen a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los establecimientos educacionales que tengan proyectos destinados a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lastRenderedPageBreak/>
        <w:t xml:space="preserve">la prevención o rehabilitación de adicciones de alcohol o drogas. Excluyendo cualquier otro tipo de persona jurídica, sin fines de lucro, que tengan o compartan el mismo objetivo.  </w:t>
      </w:r>
    </w:p>
    <w:p w:rsidR="00A02A2F" w:rsidRDefault="008746BE" w:rsidP="00535AFF">
      <w:pPr>
        <w:tabs>
          <w:tab w:val="left" w:pos="709"/>
        </w:tabs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3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.- Respecto de las personas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que son beneficiadas por los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programas de prevención y rehabilitación, dado que la ley restringe solo para los alumnos y/o apoderados, el financiamiento de programas de prevención y rehabilitación, con que cuenten dichos establecimientos</w:t>
      </w:r>
      <w:r w:rsidR="004017B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educacionales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 Con lo dicho, queda de manifiesto que se excluyen de cualquier donación</w:t>
      </w:r>
      <w:r w:rsidR="00D87AF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,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de que trata el artículo</w:t>
      </w:r>
      <w:r w:rsidR="00D87AF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2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</w:t>
      </w:r>
      <w:r w:rsidR="00D87AF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aquellos proyectos o programas de personas sin fines de lucro, que tengan 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por finalidad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según 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sus estatutos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la provisión 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directa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servicios de 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prevención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o</w:t>
      </w:r>
      <w:r w:rsidR="00A02A2F" w:rsidRP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rehabilitación </w:t>
      </w:r>
      <w:r w:rsidR="00A02A2F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de adicciones de alcohol o drogas.</w:t>
      </w:r>
      <w:r w:rsidR="00D87AF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</w:t>
      </w:r>
    </w:p>
    <w:p w:rsidR="00611B9A" w:rsidRDefault="008746BE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Teniendo presente estas limitaciones</w:t>
      </w:r>
      <w:r w:rsidR="00D87AF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, el presente proyecto </w:t>
      </w:r>
      <w:r w:rsidR="00611B9A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viene en promover la creación y permanencia de programas o proyectos que tengan dentro de sus fines proveer servicios para los adultos mayores y para personas con consumo problemático de drogas y alcohol, mediante la ampliación de las materias que desarrollan las personas jurídicas sin fines de lucro para ser considerarlos como sujetos beneficiarios de las donaciones que trata el art. 2 de le Ley 19.885, y de esta manera generar mayores incentivos para generar estos proyectos y en consecuencia </w:t>
      </w:r>
      <w:r w:rsidR="001F1AD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un </w:t>
      </w:r>
      <w:r w:rsidR="00611B9A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mayor </w:t>
      </w:r>
      <w:r w:rsidR="001F1AD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número de personas</w:t>
      </w:r>
      <w:r w:rsidR="00A50B03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vulnerables</w:t>
      </w:r>
      <w:r w:rsidR="001F1AD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 se</w:t>
      </w:r>
      <w:r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rán beneficiados</w:t>
      </w:r>
      <w:r w:rsidR="00611B9A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.</w:t>
      </w:r>
    </w:p>
    <w:p w:rsidR="0078693C" w:rsidRPr="00B47057" w:rsidRDefault="0078693C" w:rsidP="00666CA3">
      <w:pPr>
        <w:spacing w:before="100" w:beforeAutospacing="1" w:after="100" w:afterAutospacing="1" w:line="360" w:lineRule="auto"/>
        <w:ind w:firstLine="709"/>
        <w:jc w:val="center"/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es-CL"/>
        </w:rPr>
      </w:pPr>
      <w:r w:rsidRPr="00B47057">
        <w:rPr>
          <w:rFonts w:ascii="Century Gothic" w:eastAsia="Times New Roman" w:hAnsi="Century Gothic" w:cstheme="minorHAnsi"/>
          <w:b/>
          <w:bCs/>
          <w:color w:val="000000"/>
          <w:sz w:val="20"/>
          <w:szCs w:val="20"/>
          <w:u w:val="single"/>
          <w:lang w:eastAsia="es-CL"/>
        </w:rPr>
        <w:t>PROYECTO DE LEY</w:t>
      </w:r>
    </w:p>
    <w:p w:rsidR="00A02A2F" w:rsidRPr="00B47057" w:rsidRDefault="00A02A2F" w:rsidP="00535AFF">
      <w:pPr>
        <w:spacing w:before="100" w:beforeAutospacing="1" w:after="100" w:afterAutospacing="1" w:line="360" w:lineRule="auto"/>
        <w:ind w:firstLine="567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 w:rsidRPr="00B4705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Artículo único. Modifíquese la </w:t>
      </w:r>
      <w:r w:rsidR="00797728" w:rsidRPr="00B4705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>l</w:t>
      </w:r>
      <w:r w:rsidRPr="00B4705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ey N° 19.885, que Incentiva y norma el buen uso de donaciones que dan origen a beneficios tributarios y los extiende a otros fines sociales y públicos, en el sentido que a continuación se indica: </w:t>
      </w:r>
    </w:p>
    <w:p w:rsidR="008746BE" w:rsidRDefault="008746BE" w:rsidP="00B47057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 w:rsidRPr="00B4705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el artículo 2, para </w:t>
      </w:r>
      <w:r w:rsidR="00B47057" w:rsidRPr="00B47057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reemplazar en su inciso primero, luego de la palabra “recursos”, la letra “o” por una coma. </w:t>
      </w:r>
    </w:p>
    <w:p w:rsidR="00B47057" w:rsidRDefault="00B47057" w:rsidP="0033461C">
      <w:pPr>
        <w:pStyle w:val="Prrafodelista"/>
        <w:numPr>
          <w:ilvl w:val="0"/>
          <w:numId w:val="14"/>
        </w:numPr>
        <w:spacing w:before="100" w:beforeAutospacing="1" w:after="100" w:afterAutospacing="1" w:line="360" w:lineRule="auto"/>
        <w:jc w:val="both"/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</w:pPr>
      <w:r w:rsidRPr="003B355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En el artículo 2, para incorporar luego de la palabra “discapacidad” una coma y a continuación la </w:t>
      </w:r>
      <w:r w:rsidR="00A50B03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frase </w:t>
      </w:r>
      <w:r w:rsidRPr="003B355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“adultos mayores y </w:t>
      </w:r>
      <w:r w:rsidR="00A50B03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personas </w:t>
      </w:r>
      <w:r w:rsidR="00666CA3" w:rsidRPr="003B355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con consumo problemático </w:t>
      </w:r>
      <w:r w:rsidR="00A02A2F" w:rsidRPr="003B3556">
        <w:rPr>
          <w:rFonts w:ascii="Century Gothic" w:eastAsia="Times New Roman" w:hAnsi="Century Gothic" w:cstheme="minorHAnsi"/>
          <w:bCs/>
          <w:color w:val="000000"/>
          <w:sz w:val="20"/>
          <w:szCs w:val="20"/>
          <w:lang w:eastAsia="es-CL"/>
        </w:rPr>
        <w:t xml:space="preserve">de drogas y alcohol”. </w:t>
      </w:r>
    </w:p>
    <w:sectPr w:rsidR="00B47057" w:rsidSect="001E011F">
      <w:pgSz w:w="12240" w:h="15840"/>
      <w:pgMar w:top="1417" w:right="1701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2467" w:rsidRDefault="00102467" w:rsidP="005F1519">
      <w:pPr>
        <w:spacing w:after="0" w:line="240" w:lineRule="auto"/>
      </w:pPr>
      <w:r>
        <w:separator/>
      </w:r>
    </w:p>
  </w:endnote>
  <w:endnote w:type="continuationSeparator" w:id="0">
    <w:p w:rsidR="00102467" w:rsidRDefault="00102467" w:rsidP="005F15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2467" w:rsidRDefault="00102467" w:rsidP="005F1519">
      <w:pPr>
        <w:spacing w:after="0" w:line="240" w:lineRule="auto"/>
      </w:pPr>
      <w:r>
        <w:separator/>
      </w:r>
    </w:p>
  </w:footnote>
  <w:footnote w:type="continuationSeparator" w:id="0">
    <w:p w:rsidR="00102467" w:rsidRDefault="00102467" w:rsidP="005F1519">
      <w:pPr>
        <w:spacing w:after="0" w:line="240" w:lineRule="auto"/>
      </w:pPr>
      <w:r>
        <w:continuationSeparator/>
      </w:r>
    </w:p>
  </w:footnote>
  <w:footnote w:id="1">
    <w:p w:rsidR="003130AF" w:rsidRPr="005F1519" w:rsidRDefault="003130AF" w:rsidP="003130AF">
      <w:pPr>
        <w:pStyle w:val="Textonotapie"/>
        <w:rPr>
          <w:rFonts w:ascii="Century Gothic" w:hAnsi="Century Gothic"/>
          <w:sz w:val="16"/>
          <w:szCs w:val="16"/>
        </w:rPr>
      </w:pPr>
      <w:r>
        <w:rPr>
          <w:rStyle w:val="Refdenotaalpie"/>
        </w:rPr>
        <w:footnoteRef/>
      </w:r>
      <w:r>
        <w:t xml:space="preserve"> </w:t>
      </w:r>
      <w:r w:rsidR="003777EA">
        <w:rPr>
          <w:rFonts w:ascii="Century Gothic" w:hAnsi="Century Gothic"/>
          <w:sz w:val="16"/>
          <w:szCs w:val="16"/>
        </w:rPr>
        <w:t>Para mayor información ver el d</w:t>
      </w:r>
      <w:r w:rsidRPr="005F1519">
        <w:rPr>
          <w:rFonts w:ascii="Century Gothic" w:hAnsi="Century Gothic"/>
          <w:sz w:val="16"/>
          <w:szCs w:val="16"/>
        </w:rPr>
        <w:t xml:space="preserve">écimo segundo estudio nacional de drogas e la población general de Chile, </w:t>
      </w:r>
      <w:r w:rsidR="00E7309F">
        <w:rPr>
          <w:rFonts w:ascii="Century Gothic" w:hAnsi="Century Gothic"/>
          <w:sz w:val="16"/>
          <w:szCs w:val="16"/>
        </w:rPr>
        <w:t>del</w:t>
      </w:r>
      <w:r w:rsidRPr="005F1519">
        <w:rPr>
          <w:rFonts w:ascii="Century Gothic" w:hAnsi="Century Gothic"/>
          <w:sz w:val="16"/>
          <w:szCs w:val="16"/>
        </w:rPr>
        <w:t xml:space="preserve"> Observatorio Chileno de Drogas Diciembre, </w:t>
      </w:r>
      <w:r>
        <w:rPr>
          <w:rFonts w:ascii="Century Gothic" w:hAnsi="Century Gothic"/>
          <w:sz w:val="16"/>
          <w:szCs w:val="16"/>
        </w:rPr>
        <w:t xml:space="preserve">SENDA, </w:t>
      </w:r>
      <w:r w:rsidRPr="005F1519">
        <w:rPr>
          <w:rFonts w:ascii="Century Gothic" w:hAnsi="Century Gothic"/>
          <w:sz w:val="16"/>
          <w:szCs w:val="16"/>
        </w:rPr>
        <w:t>2017</w:t>
      </w:r>
      <w:r>
        <w:rPr>
          <w:rFonts w:ascii="Century Gothic" w:hAnsi="Century Gothic"/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5A7E03"/>
    <w:multiLevelType w:val="multilevel"/>
    <w:tmpl w:val="2D42A7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E207B2"/>
    <w:multiLevelType w:val="hybridMultilevel"/>
    <w:tmpl w:val="EEE69504"/>
    <w:lvl w:ilvl="0" w:tplc="BA0E3CB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color w:val="auto"/>
        <w:sz w:val="22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3A4605"/>
    <w:multiLevelType w:val="hybridMultilevel"/>
    <w:tmpl w:val="6876F63C"/>
    <w:lvl w:ilvl="0" w:tplc="32CAE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1E5144E1"/>
    <w:multiLevelType w:val="multilevel"/>
    <w:tmpl w:val="7C48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46AEC"/>
    <w:multiLevelType w:val="hybridMultilevel"/>
    <w:tmpl w:val="79D09790"/>
    <w:lvl w:ilvl="0" w:tplc="24262C8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theme="minorHAns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37E1C8C"/>
    <w:multiLevelType w:val="multilevel"/>
    <w:tmpl w:val="9FBA31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EF6837"/>
    <w:multiLevelType w:val="multilevel"/>
    <w:tmpl w:val="BB9E5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2E1B72"/>
    <w:multiLevelType w:val="multilevel"/>
    <w:tmpl w:val="39F86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A474ADD"/>
    <w:multiLevelType w:val="multilevel"/>
    <w:tmpl w:val="63B0B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DE330C5"/>
    <w:multiLevelType w:val="multilevel"/>
    <w:tmpl w:val="79D8D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FBC68E5"/>
    <w:multiLevelType w:val="multilevel"/>
    <w:tmpl w:val="F1DE5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69A7B79"/>
    <w:multiLevelType w:val="multilevel"/>
    <w:tmpl w:val="33629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7E45731"/>
    <w:multiLevelType w:val="hybridMultilevel"/>
    <w:tmpl w:val="24BA66FE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390DD0"/>
    <w:multiLevelType w:val="multilevel"/>
    <w:tmpl w:val="4516D4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3"/>
  </w:num>
  <w:num w:numId="3">
    <w:abstractNumId w:val="10"/>
  </w:num>
  <w:num w:numId="4">
    <w:abstractNumId w:val="3"/>
  </w:num>
  <w:num w:numId="5">
    <w:abstractNumId w:val="9"/>
  </w:num>
  <w:num w:numId="6">
    <w:abstractNumId w:val="8"/>
  </w:num>
  <w:num w:numId="7">
    <w:abstractNumId w:val="5"/>
  </w:num>
  <w:num w:numId="8">
    <w:abstractNumId w:val="7"/>
  </w:num>
  <w:num w:numId="9">
    <w:abstractNumId w:val="6"/>
  </w:num>
  <w:num w:numId="10">
    <w:abstractNumId w:val="11"/>
  </w:num>
  <w:num w:numId="11">
    <w:abstractNumId w:val="1"/>
  </w:num>
  <w:num w:numId="12">
    <w:abstractNumId w:val="4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693C"/>
    <w:rsid w:val="00087D5C"/>
    <w:rsid w:val="000C485E"/>
    <w:rsid w:val="000F2EB6"/>
    <w:rsid w:val="00102467"/>
    <w:rsid w:val="001251A0"/>
    <w:rsid w:val="001275EE"/>
    <w:rsid w:val="00141E94"/>
    <w:rsid w:val="00172A44"/>
    <w:rsid w:val="001E011F"/>
    <w:rsid w:val="001F1AD6"/>
    <w:rsid w:val="00242708"/>
    <w:rsid w:val="00246221"/>
    <w:rsid w:val="002830A0"/>
    <w:rsid w:val="002B1DA1"/>
    <w:rsid w:val="003130AF"/>
    <w:rsid w:val="003352EC"/>
    <w:rsid w:val="003456F5"/>
    <w:rsid w:val="003777EA"/>
    <w:rsid w:val="00383A04"/>
    <w:rsid w:val="003B3556"/>
    <w:rsid w:val="003B75D3"/>
    <w:rsid w:val="003C6928"/>
    <w:rsid w:val="004017B7"/>
    <w:rsid w:val="004106F7"/>
    <w:rsid w:val="00473730"/>
    <w:rsid w:val="00535AFF"/>
    <w:rsid w:val="00565981"/>
    <w:rsid w:val="005C6634"/>
    <w:rsid w:val="005F1519"/>
    <w:rsid w:val="00611B9A"/>
    <w:rsid w:val="00666CA3"/>
    <w:rsid w:val="00681080"/>
    <w:rsid w:val="0069183A"/>
    <w:rsid w:val="006A7B9B"/>
    <w:rsid w:val="006E7AAA"/>
    <w:rsid w:val="00702D22"/>
    <w:rsid w:val="0074524A"/>
    <w:rsid w:val="00755899"/>
    <w:rsid w:val="0078693C"/>
    <w:rsid w:val="00797728"/>
    <w:rsid w:val="007A3171"/>
    <w:rsid w:val="007B2C4E"/>
    <w:rsid w:val="007F225F"/>
    <w:rsid w:val="008746BE"/>
    <w:rsid w:val="008B65F0"/>
    <w:rsid w:val="00916ADF"/>
    <w:rsid w:val="0094784C"/>
    <w:rsid w:val="0099728F"/>
    <w:rsid w:val="009B4B0C"/>
    <w:rsid w:val="009E0538"/>
    <w:rsid w:val="00A02A2F"/>
    <w:rsid w:val="00A36349"/>
    <w:rsid w:val="00A428ED"/>
    <w:rsid w:val="00A42BCF"/>
    <w:rsid w:val="00A50B03"/>
    <w:rsid w:val="00A81BB3"/>
    <w:rsid w:val="00AC0137"/>
    <w:rsid w:val="00AF12E7"/>
    <w:rsid w:val="00B23DC1"/>
    <w:rsid w:val="00B3376D"/>
    <w:rsid w:val="00B35B06"/>
    <w:rsid w:val="00B47057"/>
    <w:rsid w:val="00B625AA"/>
    <w:rsid w:val="00B84AA3"/>
    <w:rsid w:val="00BF4A12"/>
    <w:rsid w:val="00C93021"/>
    <w:rsid w:val="00D75837"/>
    <w:rsid w:val="00D87AF7"/>
    <w:rsid w:val="00DD2869"/>
    <w:rsid w:val="00E144DC"/>
    <w:rsid w:val="00E24994"/>
    <w:rsid w:val="00E53262"/>
    <w:rsid w:val="00E7309F"/>
    <w:rsid w:val="00ED1500"/>
    <w:rsid w:val="00F05185"/>
    <w:rsid w:val="00F9010C"/>
    <w:rsid w:val="00FB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741A46C0-1D5C-45E2-8969-F04B4F4A63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42708"/>
    <w:pPr>
      <w:ind w:left="720"/>
      <w:contextualSpacing/>
    </w:pPr>
  </w:style>
  <w:style w:type="character" w:customStyle="1" w:styleId="m-2410158284787006475gmail-msofootnotereference">
    <w:name w:val="m_-2410158284787006475gmail-msofootnotereference"/>
    <w:basedOn w:val="Fuentedeprrafopredeter"/>
    <w:rsid w:val="00B35B06"/>
  </w:style>
  <w:style w:type="paragraph" w:customStyle="1" w:styleId="m-2410158284787006475gmail-msofootnotetext">
    <w:name w:val="m_-2410158284787006475gmail-msofootnotetext"/>
    <w:basedOn w:val="Normal"/>
    <w:rsid w:val="00B35B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8746B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CL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8746BE"/>
    <w:rPr>
      <w:rFonts w:ascii="Courier New" w:eastAsia="Times New Roman" w:hAnsi="Courier New" w:cs="Courier New"/>
      <w:sz w:val="20"/>
      <w:szCs w:val="20"/>
      <w:lang w:eastAsia="es-CL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5F1519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5F1519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5F1519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13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130AF"/>
  </w:style>
  <w:style w:type="paragraph" w:styleId="Piedepgina">
    <w:name w:val="footer"/>
    <w:basedOn w:val="Normal"/>
    <w:link w:val="PiedepginaCar"/>
    <w:uiPriority w:val="99"/>
    <w:unhideWhenUsed/>
    <w:rsid w:val="003130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130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80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69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1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54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089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01972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9279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9973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49568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16684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1883784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985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199693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12087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373725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885778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0988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62971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6937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9670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74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65993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27966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59793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420895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648174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65215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45936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56626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876084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535524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746871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6C822-7B52-4DA2-AC22-FC05EEC5D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4</Pages>
  <Words>1367</Words>
  <Characters>7520</Characters>
  <Application>Microsoft Office Word</Application>
  <DocSecurity>0</DocSecurity>
  <Lines>62</Lines>
  <Paragraphs>17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 Gonzalez</dc:creator>
  <cp:keywords/>
  <dc:description/>
  <cp:lastModifiedBy>Leonardo Lueiza Ureta</cp:lastModifiedBy>
  <cp:revision>11</cp:revision>
  <dcterms:created xsi:type="dcterms:W3CDTF">2018-06-19T19:51:00Z</dcterms:created>
  <dcterms:modified xsi:type="dcterms:W3CDTF">2018-06-21T16:55:00Z</dcterms:modified>
</cp:coreProperties>
</file>