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5A" w:rsidRDefault="00C34B5A" w:rsidP="00C34B5A">
      <w:pPr>
        <w:spacing w:before="1085"/>
        <w:ind w:left="1134" w:right="1452"/>
        <w:jc w:val="center"/>
        <w:textAlignment w:val="baseline"/>
        <w:rPr>
          <w:rFonts w:ascii="Arial" w:eastAsia="Arial" w:hAnsi="Arial"/>
          <w:b/>
          <w:color w:val="000000"/>
          <w:sz w:val="24"/>
          <w:lang w:val="es-ES"/>
        </w:rPr>
      </w:pPr>
      <w:r w:rsidRPr="00C34B5A">
        <w:rPr>
          <w:rFonts w:ascii="Arial" w:eastAsia="Arial" w:hAnsi="Arial"/>
          <w:b/>
          <w:color w:val="000000"/>
          <w:sz w:val="24"/>
          <w:lang w:val="es-ES"/>
        </w:rPr>
        <w:t xml:space="preserve">Modifica el decreto con fuerza de ley N°1, de 2005, del Ministerio de Salud, en materia de consulta, administración y uso, por parte del afiliado, de los excedentes de cotización en </w:t>
      </w:r>
      <w:proofErr w:type="spellStart"/>
      <w:r w:rsidRPr="00C34B5A">
        <w:rPr>
          <w:rFonts w:ascii="Arial" w:eastAsia="Arial" w:hAnsi="Arial"/>
          <w:b/>
          <w:color w:val="000000"/>
          <w:sz w:val="24"/>
          <w:lang w:val="es-ES"/>
        </w:rPr>
        <w:t>Isapres</w:t>
      </w:r>
      <w:proofErr w:type="spellEnd"/>
    </w:p>
    <w:p w:rsidR="00C34B5A" w:rsidRDefault="00C34B5A" w:rsidP="00C34B5A">
      <w:pPr>
        <w:spacing w:before="120"/>
        <w:ind w:left="1134" w:right="1452"/>
        <w:jc w:val="center"/>
        <w:textAlignment w:val="baseline"/>
        <w:rPr>
          <w:rFonts w:ascii="Arial" w:eastAsia="Arial" w:hAnsi="Arial"/>
          <w:b/>
          <w:color w:val="000000"/>
          <w:sz w:val="24"/>
          <w:lang w:val="es-ES"/>
        </w:rPr>
      </w:pPr>
      <w:r>
        <w:rPr>
          <w:rFonts w:ascii="Arial" w:eastAsia="Arial" w:hAnsi="Arial"/>
          <w:b/>
          <w:color w:val="000000"/>
          <w:sz w:val="24"/>
          <w:lang w:val="es-ES"/>
        </w:rPr>
        <w:t>Boletín N°11591-11</w:t>
      </w:r>
    </w:p>
    <w:p w:rsidR="00C25B5D" w:rsidRDefault="00264796">
      <w:pPr>
        <w:spacing w:before="1085" w:line="234" w:lineRule="exact"/>
        <w:textAlignment w:val="baseline"/>
        <w:rPr>
          <w:rFonts w:ascii="Arial" w:eastAsia="Arial" w:hAnsi="Arial"/>
          <w:b/>
          <w:color w:val="000000"/>
          <w:spacing w:val="-1"/>
          <w:sz w:val="24"/>
          <w:u w:val="single"/>
          <w:lang w:val="es-ES"/>
        </w:rPr>
      </w:pPr>
      <w:r>
        <w:rPr>
          <w:rFonts w:ascii="Arial" w:eastAsia="Arial" w:hAnsi="Arial"/>
          <w:b/>
          <w:color w:val="000000"/>
          <w:spacing w:val="-1"/>
          <w:sz w:val="24"/>
          <w:u w:val="single"/>
          <w:lang w:val="es-ES"/>
        </w:rPr>
        <w:t>Fundamentos:</w:t>
      </w:r>
    </w:p>
    <w:p w:rsidR="00C25B5D" w:rsidRDefault="00264796">
      <w:pPr>
        <w:numPr>
          <w:ilvl w:val="0"/>
          <w:numId w:val="1"/>
        </w:numPr>
        <w:spacing w:before="649" w:line="295" w:lineRule="exact"/>
        <w:ind w:left="0" w:right="216"/>
        <w:jc w:val="both"/>
        <w:textAlignment w:val="baseline"/>
        <w:rPr>
          <w:rFonts w:ascii="Arial" w:eastAsia="Arial" w:hAnsi="Arial"/>
          <w:color w:val="000000"/>
          <w:sz w:val="24"/>
          <w:lang w:val="es-ES"/>
        </w:rPr>
      </w:pPr>
      <w:r>
        <w:rPr>
          <w:rFonts w:ascii="Arial" w:eastAsia="Arial" w:hAnsi="Arial"/>
          <w:color w:val="000000"/>
          <w:sz w:val="24"/>
          <w:lang w:val="es-ES"/>
        </w:rPr>
        <w:t>En el mes de noviembre de 2017, se canceló el registro de la Institución de Salud Previsional (en adelante la ISAPRE) MASVIDA;</w:t>
      </w:r>
    </w:p>
    <w:p w:rsidR="00C25B5D" w:rsidRDefault="00264796">
      <w:pPr>
        <w:numPr>
          <w:ilvl w:val="0"/>
          <w:numId w:val="1"/>
        </w:numPr>
        <w:spacing w:before="151" w:line="297" w:lineRule="exact"/>
        <w:ind w:left="0" w:right="216"/>
        <w:jc w:val="both"/>
        <w:textAlignment w:val="baseline"/>
        <w:rPr>
          <w:rFonts w:ascii="Arial" w:eastAsia="Arial" w:hAnsi="Arial"/>
          <w:color w:val="000000"/>
          <w:sz w:val="24"/>
          <w:lang w:val="es-ES"/>
        </w:rPr>
      </w:pPr>
      <w:r>
        <w:rPr>
          <w:rFonts w:ascii="Arial" w:eastAsia="Arial" w:hAnsi="Arial"/>
          <w:color w:val="000000"/>
          <w:sz w:val="24"/>
          <w:lang w:val="es-ES"/>
        </w:rPr>
        <w:t>Como es de público conocimiento, ya desde el año 2016, 1SAPRE MASVIDA enfrentó problemas de solvencia y liquidez respecto al cumplimiento de sus obligaciones económicas y financieras - .</w:t>
      </w:r>
    </w:p>
    <w:p w:rsidR="00C25B5D" w:rsidRDefault="00264796">
      <w:pPr>
        <w:numPr>
          <w:ilvl w:val="0"/>
          <w:numId w:val="1"/>
        </w:numPr>
        <w:spacing w:before="159" w:line="295" w:lineRule="exact"/>
        <w:ind w:left="0" w:right="216"/>
        <w:jc w:val="both"/>
        <w:textAlignment w:val="baseline"/>
        <w:rPr>
          <w:rFonts w:ascii="Arial" w:eastAsia="Arial" w:hAnsi="Arial"/>
          <w:color w:val="000000"/>
          <w:sz w:val="24"/>
          <w:lang w:val="es-ES"/>
        </w:rPr>
      </w:pPr>
      <w:r>
        <w:rPr>
          <w:rFonts w:ascii="Arial" w:eastAsia="Arial" w:hAnsi="Arial"/>
          <w:color w:val="000000"/>
          <w:sz w:val="24"/>
          <w:lang w:val="es-ES"/>
        </w:rPr>
        <w:t xml:space="preserve">Con motivo de lo anterior, ISAPRE MASVIDA fue objeto de un Régimen Especial de </w:t>
      </w:r>
      <w:proofErr w:type="spellStart"/>
      <w:r>
        <w:rPr>
          <w:rFonts w:ascii="Arial" w:eastAsia="Arial" w:hAnsi="Arial"/>
          <w:color w:val="000000"/>
          <w:sz w:val="24"/>
          <w:lang w:val="es-ES"/>
        </w:rPr>
        <w:t>Supervigilancia</w:t>
      </w:r>
      <w:proofErr w:type="spellEnd"/>
      <w:r>
        <w:rPr>
          <w:rFonts w:ascii="Arial" w:eastAsia="Arial" w:hAnsi="Arial"/>
          <w:color w:val="000000"/>
          <w:sz w:val="24"/>
          <w:lang w:val="es-ES"/>
        </w:rPr>
        <w:t xml:space="preserve"> y Control, por parte de la Superintendencia de Salud, derivando posteriormente en la designación de administrador provisional.</w:t>
      </w:r>
    </w:p>
    <w:p w:rsidR="00C25B5D" w:rsidRDefault="00264796">
      <w:pPr>
        <w:numPr>
          <w:ilvl w:val="0"/>
          <w:numId w:val="1"/>
        </w:numPr>
        <w:spacing w:before="154" w:line="296" w:lineRule="exact"/>
        <w:ind w:left="0" w:right="216"/>
        <w:jc w:val="both"/>
        <w:textAlignment w:val="baseline"/>
        <w:rPr>
          <w:rFonts w:ascii="Arial" w:eastAsia="Arial" w:hAnsi="Arial"/>
          <w:color w:val="000000"/>
          <w:sz w:val="24"/>
          <w:lang w:val="es-ES"/>
        </w:rPr>
      </w:pPr>
      <w:r>
        <w:rPr>
          <w:rFonts w:ascii="Arial" w:eastAsia="Arial" w:hAnsi="Arial"/>
          <w:color w:val="000000"/>
          <w:sz w:val="24"/>
          <w:lang w:val="es-ES"/>
        </w:rPr>
        <w:t xml:space="preserve">En el proceso de auditoria efectuado a la </w:t>
      </w:r>
      <w:proofErr w:type="spellStart"/>
      <w:r>
        <w:rPr>
          <w:rFonts w:ascii="Arial" w:eastAsia="Arial" w:hAnsi="Arial"/>
          <w:color w:val="000000"/>
          <w:sz w:val="24"/>
          <w:lang w:val="es-ES"/>
        </w:rPr>
        <w:t>Isapre</w:t>
      </w:r>
      <w:proofErr w:type="spellEnd"/>
      <w:r>
        <w:rPr>
          <w:rFonts w:ascii="Arial" w:eastAsia="Arial" w:hAnsi="Arial"/>
          <w:color w:val="000000"/>
          <w:sz w:val="24"/>
          <w:lang w:val="es-ES"/>
        </w:rPr>
        <w:t xml:space="preserve"> se constató que no existe una clara aplicación de los excedentes por parte del sector y que los usuarios que tienen excedentes no los pueden asignar libremente dentro del listado que contempla el </w:t>
      </w:r>
      <w:r w:rsidR="004F4D83">
        <w:rPr>
          <w:rFonts w:ascii="Arial" w:eastAsia="Arial" w:hAnsi="Arial"/>
          <w:color w:val="000000"/>
          <w:sz w:val="24"/>
          <w:lang w:val="es-ES"/>
        </w:rPr>
        <w:t xml:space="preserve">artículo 188 de la ley de </w:t>
      </w:r>
      <w:proofErr w:type="spellStart"/>
      <w:r w:rsidR="004F4D83">
        <w:rPr>
          <w:rFonts w:ascii="Arial" w:eastAsia="Arial" w:hAnsi="Arial"/>
          <w:color w:val="000000"/>
          <w:sz w:val="24"/>
          <w:lang w:val="es-ES"/>
        </w:rPr>
        <w:t>Isapres</w:t>
      </w:r>
      <w:proofErr w:type="spellEnd"/>
      <w:r w:rsidR="004F4D83">
        <w:rPr>
          <w:rFonts w:ascii="Arial" w:eastAsia="Arial" w:hAnsi="Arial"/>
          <w:color w:val="000000"/>
          <w:sz w:val="24"/>
          <w:lang w:val="es-ES"/>
        </w:rPr>
        <w:t>.</w:t>
      </w:r>
    </w:p>
    <w:p w:rsidR="00C25B5D" w:rsidRDefault="00264796">
      <w:pPr>
        <w:numPr>
          <w:ilvl w:val="0"/>
          <w:numId w:val="1"/>
        </w:numPr>
        <w:spacing w:before="147" w:line="296" w:lineRule="exact"/>
        <w:ind w:left="0" w:right="216"/>
        <w:jc w:val="both"/>
        <w:textAlignment w:val="baseline"/>
        <w:rPr>
          <w:rFonts w:ascii="Arial" w:eastAsia="Arial" w:hAnsi="Arial"/>
          <w:color w:val="000000"/>
          <w:sz w:val="24"/>
          <w:lang w:val="es-ES"/>
        </w:rPr>
      </w:pPr>
      <w:r>
        <w:rPr>
          <w:rFonts w:ascii="Arial" w:eastAsia="Arial" w:hAnsi="Arial"/>
          <w:color w:val="000000"/>
          <w:sz w:val="24"/>
          <w:lang w:val="es-ES"/>
        </w:rPr>
        <w:t xml:space="preserve">Que una forma de remediar esta situación y de empoderar adecuadamente al usuario que goza de excedentes, es que las </w:t>
      </w:r>
      <w:proofErr w:type="spellStart"/>
      <w:r>
        <w:rPr>
          <w:rFonts w:ascii="Arial" w:eastAsia="Arial" w:hAnsi="Arial"/>
          <w:color w:val="000000"/>
          <w:sz w:val="24"/>
          <w:lang w:val="es-ES"/>
        </w:rPr>
        <w:t>Isapres</w:t>
      </w:r>
      <w:proofErr w:type="spellEnd"/>
      <w:r>
        <w:rPr>
          <w:rFonts w:ascii="Arial" w:eastAsia="Arial" w:hAnsi="Arial"/>
          <w:color w:val="000000"/>
          <w:sz w:val="24"/>
          <w:lang w:val="es-ES"/>
        </w:rPr>
        <w:t xml:space="preserve"> adecuen sus sistemas tanto informáticos como de información a sus afiliados para que ellos puedan libremente y de manera automática en línea decidir en qué ocupar sus excedentes dentro del listado del propio artículo 188.</w:t>
      </w:r>
    </w:p>
    <w:p w:rsidR="00C34B5A" w:rsidRDefault="00264796">
      <w:pPr>
        <w:spacing w:before="179" w:after="1550" w:line="267" w:lineRule="exact"/>
        <w:textAlignment w:val="baseline"/>
        <w:rPr>
          <w:rFonts w:ascii="Arial" w:eastAsia="Arial" w:hAnsi="Arial"/>
          <w:color w:val="000000"/>
          <w:sz w:val="24"/>
          <w:lang w:val="es-ES"/>
        </w:rPr>
      </w:pPr>
      <w:r>
        <w:rPr>
          <w:rFonts w:ascii="Arial" w:eastAsia="Arial" w:hAnsi="Arial"/>
          <w:color w:val="000000"/>
          <w:sz w:val="24"/>
          <w:lang w:val="es-ES"/>
        </w:rPr>
        <w:t>En virtud de lo anterior, los Diputados que suscriben, venimos en presentar el siguiente</w:t>
      </w:r>
    </w:p>
    <w:p w:rsidR="00C34B5A" w:rsidRDefault="00C34B5A">
      <w:pPr>
        <w:rPr>
          <w:rFonts w:ascii="Arial" w:eastAsia="Arial" w:hAnsi="Arial"/>
          <w:color w:val="000000"/>
          <w:sz w:val="24"/>
          <w:lang w:val="es-ES"/>
        </w:rPr>
      </w:pPr>
      <w:r>
        <w:rPr>
          <w:rFonts w:ascii="Arial" w:eastAsia="Arial" w:hAnsi="Arial"/>
          <w:color w:val="000000"/>
          <w:sz w:val="24"/>
          <w:lang w:val="es-ES"/>
        </w:rPr>
        <w:br w:type="page"/>
      </w:r>
    </w:p>
    <w:p w:rsidR="00C25B5D" w:rsidRDefault="00C25B5D">
      <w:pPr>
        <w:spacing w:before="179" w:after="1550" w:line="267" w:lineRule="exact"/>
        <w:textAlignment w:val="baseline"/>
        <w:rPr>
          <w:rFonts w:ascii="Arial" w:eastAsia="Arial" w:hAnsi="Arial"/>
          <w:color w:val="000000"/>
          <w:sz w:val="24"/>
          <w:lang w:val="es-ES"/>
        </w:rPr>
      </w:pPr>
      <w:bookmarkStart w:id="0" w:name="_GoBack"/>
      <w:bookmarkEnd w:id="0"/>
    </w:p>
    <w:p w:rsidR="00C25B5D" w:rsidRDefault="00C25B5D">
      <w:pPr>
        <w:ind w:left="5832" w:right="11"/>
        <w:textAlignment w:val="baseline"/>
      </w:pPr>
    </w:p>
    <w:p w:rsidR="00C25B5D" w:rsidRDefault="00264796">
      <w:pPr>
        <w:spacing w:before="7" w:after="611" w:line="274" w:lineRule="exact"/>
        <w:jc w:val="center"/>
        <w:textAlignment w:val="baseline"/>
        <w:rPr>
          <w:rFonts w:ascii="Arial" w:eastAsia="Arial" w:hAnsi="Arial"/>
          <w:b/>
          <w:color w:val="000000"/>
          <w:sz w:val="24"/>
          <w:lang w:val="es-ES"/>
        </w:rPr>
      </w:pPr>
      <w:r>
        <w:rPr>
          <w:rFonts w:ascii="Arial" w:eastAsia="Arial" w:hAnsi="Arial"/>
          <w:b/>
          <w:color w:val="000000"/>
          <w:sz w:val="24"/>
          <w:lang w:val="es-ES"/>
        </w:rPr>
        <w:t>PROYECTO DE LEY</w:t>
      </w:r>
    </w:p>
    <w:p w:rsidR="00C25B5D" w:rsidRDefault="00264796">
      <w:pPr>
        <w:spacing w:line="292" w:lineRule="exact"/>
        <w:ind w:left="72" w:right="72"/>
        <w:jc w:val="both"/>
        <w:textAlignment w:val="baseline"/>
        <w:rPr>
          <w:rFonts w:ascii="Arial" w:eastAsia="Arial" w:hAnsi="Arial"/>
          <w:b/>
          <w:color w:val="000000"/>
          <w:sz w:val="24"/>
          <w:lang w:val="es-ES"/>
        </w:rPr>
      </w:pPr>
      <w:r>
        <w:rPr>
          <w:rFonts w:ascii="Arial" w:eastAsia="Arial" w:hAnsi="Arial"/>
          <w:b/>
          <w:color w:val="000000"/>
          <w:sz w:val="24"/>
          <w:lang w:val="es-ES"/>
        </w:rPr>
        <w:t xml:space="preserve">Artículo único.- </w:t>
      </w:r>
      <w:r>
        <w:rPr>
          <w:rFonts w:ascii="Arial" w:eastAsia="Arial" w:hAnsi="Arial"/>
          <w:color w:val="000000"/>
          <w:sz w:val="24"/>
          <w:lang w:val="es-ES"/>
        </w:rPr>
        <w:t>Modifíquese el artículo 188 del Decreto con Fuerza de Ley N°1 del Ministerio de Salud; Subsecretaria de Salud Pública, que fija el texto refundido, coordinado y sistematizado del Decreto Ley N° 2.763, de 1979 y de las Leyes N° 18.933 y N° 18.469, en el sentido de agregar en el inciso 5° a continuación del punto aparte que precede la frase "de acuerdo al inciso precedente" el que pasa a ser punto seguido, lo siguiente:</w:t>
      </w:r>
    </w:p>
    <w:p w:rsidR="00C25B5D" w:rsidRDefault="00264796" w:rsidP="004F4D83">
      <w:pPr>
        <w:spacing w:before="164" w:after="135" w:line="295" w:lineRule="exact"/>
        <w:ind w:left="72" w:right="72"/>
        <w:jc w:val="both"/>
        <w:textAlignment w:val="baseline"/>
        <w:rPr>
          <w:rFonts w:ascii="Arial" w:eastAsia="Arial" w:hAnsi="Arial"/>
          <w:color w:val="000000"/>
          <w:sz w:val="24"/>
          <w:lang w:val="es-ES"/>
        </w:rPr>
      </w:pPr>
      <w:r>
        <w:rPr>
          <w:rFonts w:ascii="Arial" w:eastAsia="Arial" w:hAnsi="Arial"/>
          <w:color w:val="000000"/>
          <w:sz w:val="24"/>
          <w:lang w:val="es-ES"/>
        </w:rPr>
        <w:t xml:space="preserve">"Para ello, cada Institución de Salud Previsional deberá habilitar un sistema en línea que permita a los afiliados, verificar sus excedentes y determinar su uso y destino libremente entre todas las alternativas descritas precedentemente en este artículo. Con todo, cada afiliado siempre podrá optar libremente por el prestador en el cual hacer uso de sus excedentes, sin que la </w:t>
      </w:r>
      <w:proofErr w:type="spellStart"/>
      <w:r>
        <w:rPr>
          <w:rFonts w:ascii="Arial" w:eastAsia="Arial" w:hAnsi="Arial"/>
          <w:color w:val="000000"/>
          <w:sz w:val="24"/>
          <w:lang w:val="es-ES"/>
        </w:rPr>
        <w:t>Isapre</w:t>
      </w:r>
      <w:proofErr w:type="spellEnd"/>
      <w:r>
        <w:rPr>
          <w:rFonts w:ascii="Arial" w:eastAsia="Arial" w:hAnsi="Arial"/>
          <w:color w:val="000000"/>
          <w:sz w:val="24"/>
          <w:lang w:val="es-ES"/>
        </w:rPr>
        <w:t xml:space="preserve"> pueda limitar o restringir esa decisión. Los prestadores, tendrán derecho a recibir en línea el pago de estas prestaciones, con cargo al saldo disponible que cada afiliado posea en su cuenta individual de excedentes.</w:t>
      </w:r>
    </w:p>
    <w:p w:rsidR="004F4D83" w:rsidRDefault="004F4D83" w:rsidP="004F4D83">
      <w:pPr>
        <w:spacing w:before="164" w:after="135" w:line="295" w:lineRule="exact"/>
        <w:ind w:left="72" w:right="72"/>
        <w:jc w:val="both"/>
        <w:textAlignment w:val="baseline"/>
        <w:rPr>
          <w:rFonts w:ascii="Arial" w:eastAsia="Arial" w:hAnsi="Arial"/>
          <w:color w:val="000000"/>
          <w:sz w:val="24"/>
          <w:lang w:val="es-ES"/>
        </w:rPr>
      </w:pPr>
    </w:p>
    <w:p w:rsidR="004F4D83" w:rsidRDefault="004F4D83" w:rsidP="004F4D83">
      <w:pPr>
        <w:spacing w:before="164" w:after="135" w:line="295" w:lineRule="exact"/>
        <w:ind w:left="72" w:right="72"/>
        <w:jc w:val="both"/>
        <w:textAlignment w:val="baseline"/>
        <w:rPr>
          <w:rFonts w:ascii="Arial" w:eastAsia="Arial" w:hAnsi="Arial"/>
          <w:color w:val="000000"/>
          <w:sz w:val="24"/>
          <w:lang w:val="es-ES"/>
        </w:rPr>
      </w:pPr>
      <w:r>
        <w:rPr>
          <w:rFonts w:ascii="Arial" w:eastAsia="Arial" w:hAnsi="Arial"/>
          <w:b/>
          <w:color w:val="000000"/>
          <w:spacing w:val="-1"/>
          <w:sz w:val="24"/>
          <w:lang w:val="es-ES"/>
        </w:rPr>
        <w:t xml:space="preserve">Artículo transitorio.- </w:t>
      </w:r>
      <w:r>
        <w:rPr>
          <w:rFonts w:ascii="Arial" w:eastAsia="Arial" w:hAnsi="Arial"/>
          <w:color w:val="000000"/>
          <w:spacing w:val="-1"/>
          <w:sz w:val="24"/>
          <w:lang w:val="es-ES"/>
        </w:rPr>
        <w:t>Las Instituci</w:t>
      </w:r>
      <w:r>
        <w:rPr>
          <w:rFonts w:ascii="Arial" w:eastAsia="Arial" w:hAnsi="Arial"/>
          <w:color w:val="000000"/>
          <w:spacing w:val="3"/>
          <w:sz w:val="24"/>
          <w:lang w:val="es-ES"/>
        </w:rPr>
        <w:t>ones de Salud Previsional que a la fecha de entrada en vigencia</w:t>
      </w:r>
      <w:r>
        <w:rPr>
          <w:rFonts w:ascii="Arial" w:eastAsia="Arial" w:hAnsi="Arial"/>
          <w:color w:val="000000"/>
          <w:spacing w:val="-1"/>
          <w:sz w:val="24"/>
          <w:lang w:val="es-ES"/>
        </w:rPr>
        <w:t xml:space="preserve"> </w:t>
      </w:r>
      <w:r w:rsidRPr="004F4D83">
        <w:rPr>
          <w:rFonts w:ascii="Arial" w:eastAsia="Arial" w:hAnsi="Arial"/>
          <w:color w:val="000000"/>
          <w:spacing w:val="-2"/>
          <w:sz w:val="24"/>
          <w:lang w:val="es-ES"/>
        </w:rPr>
        <w:t>de esta ley no tuvieren est</w:t>
      </w:r>
      <w:r>
        <w:rPr>
          <w:rFonts w:ascii="Arial" w:eastAsia="Arial" w:hAnsi="Arial"/>
          <w:color w:val="000000"/>
          <w:spacing w:val="-2"/>
          <w:sz w:val="24"/>
          <w:lang w:val="es-ES"/>
        </w:rPr>
        <w:t xml:space="preserve">ablecido </w:t>
      </w:r>
      <w:r>
        <w:rPr>
          <w:rFonts w:ascii="Arial" w:eastAsia="Arial" w:hAnsi="Arial"/>
          <w:color w:val="000000"/>
          <w:sz w:val="24"/>
          <w:lang w:val="es-ES"/>
        </w:rPr>
        <w:t>un sistema en línea para el uso de excedentes de sus afiliados</w:t>
      </w:r>
      <w:r w:rsidRPr="004F4D83">
        <w:rPr>
          <w:rFonts w:ascii="Arial" w:eastAsia="Arial" w:hAnsi="Arial"/>
          <w:color w:val="000000"/>
          <w:spacing w:val="-2"/>
          <w:sz w:val="24"/>
          <w:lang w:val="es-ES"/>
        </w:rPr>
        <w:t xml:space="preserve"> y/</w:t>
      </w:r>
      <w:r>
        <w:rPr>
          <w:rFonts w:ascii="Arial" w:eastAsia="Arial" w:hAnsi="Arial"/>
          <w:color w:val="000000"/>
          <w:spacing w:val="-2"/>
          <w:sz w:val="24"/>
          <w:lang w:val="es-ES"/>
        </w:rPr>
        <w:t>o t</w:t>
      </w:r>
      <w:r w:rsidRPr="004F4D83">
        <w:rPr>
          <w:rFonts w:ascii="Arial" w:eastAsia="Arial" w:hAnsi="Arial"/>
          <w:color w:val="000000"/>
          <w:spacing w:val="-2"/>
          <w:sz w:val="24"/>
          <w:lang w:val="es-ES"/>
        </w:rPr>
        <w:t>eniendo éste lo tie</w:t>
      </w:r>
      <w:r>
        <w:rPr>
          <w:rFonts w:ascii="Arial" w:eastAsia="Arial" w:hAnsi="Arial"/>
          <w:color w:val="000000"/>
          <w:sz w:val="24"/>
          <w:lang w:val="es-ES"/>
        </w:rPr>
        <w:t>nen restringido para ciertos prestadores, deberán ajustarse</w:t>
      </w:r>
      <w:r>
        <w:rPr>
          <w:rFonts w:ascii="Arial" w:eastAsia="Arial" w:hAnsi="Arial"/>
          <w:color w:val="000000"/>
          <w:spacing w:val="-2"/>
          <w:sz w:val="24"/>
          <w:lang w:val="es-ES"/>
        </w:rPr>
        <w:t xml:space="preserve"> a la norma dentro del plazo de seis </w:t>
      </w:r>
      <w:r>
        <w:rPr>
          <w:rFonts w:ascii="Arial" w:eastAsia="Arial" w:hAnsi="Arial"/>
          <w:color w:val="000000"/>
          <w:sz w:val="24"/>
          <w:lang w:val="es-ES"/>
        </w:rPr>
        <w:t>meses desde la entrada en vigencia de la presente ley.</w:t>
      </w:r>
    </w:p>
    <w:p w:rsidR="00264796" w:rsidRDefault="00264796" w:rsidP="004F4D83">
      <w:pPr>
        <w:spacing w:before="164" w:after="135" w:line="295" w:lineRule="exact"/>
        <w:ind w:left="72" w:right="72"/>
        <w:jc w:val="both"/>
        <w:textAlignment w:val="baseline"/>
        <w:rPr>
          <w:rFonts w:ascii="Arial" w:eastAsia="Arial" w:hAnsi="Arial"/>
          <w:color w:val="000000"/>
          <w:sz w:val="24"/>
          <w:lang w:val="es-ES"/>
        </w:rPr>
      </w:pPr>
    </w:p>
    <w:p w:rsidR="00264796" w:rsidRDefault="00264796" w:rsidP="004F4D83">
      <w:pPr>
        <w:spacing w:before="164" w:after="135" w:line="295" w:lineRule="exact"/>
        <w:ind w:left="72" w:right="72"/>
        <w:jc w:val="both"/>
        <w:textAlignment w:val="baseline"/>
        <w:rPr>
          <w:rFonts w:ascii="Arial" w:eastAsia="Arial" w:hAnsi="Arial"/>
          <w:color w:val="000000"/>
          <w:sz w:val="24"/>
          <w:lang w:val="es-ES"/>
        </w:rPr>
      </w:pPr>
    </w:p>
    <w:p w:rsidR="00264796" w:rsidRPr="00264796" w:rsidRDefault="00264796" w:rsidP="00264796">
      <w:pPr>
        <w:spacing w:before="120" w:after="120"/>
        <w:ind w:left="74" w:right="74"/>
        <w:jc w:val="center"/>
        <w:textAlignment w:val="baseline"/>
        <w:rPr>
          <w:rFonts w:ascii="Arial" w:eastAsia="Arial" w:hAnsi="Arial"/>
          <w:b/>
          <w:color w:val="000000"/>
          <w:sz w:val="24"/>
          <w:lang w:val="es-ES"/>
        </w:rPr>
      </w:pPr>
      <w:r w:rsidRPr="00264796">
        <w:rPr>
          <w:rFonts w:ascii="Arial" w:eastAsia="Arial" w:hAnsi="Arial"/>
          <w:b/>
          <w:color w:val="000000"/>
          <w:sz w:val="24"/>
          <w:lang w:val="es-ES"/>
        </w:rPr>
        <w:t>MARCO ANTONIO NÚÑEZ LOZANO</w:t>
      </w:r>
    </w:p>
    <w:p w:rsidR="00264796" w:rsidRDefault="00264796" w:rsidP="00264796">
      <w:pPr>
        <w:spacing w:before="120" w:after="120"/>
        <w:ind w:left="74" w:right="74"/>
        <w:jc w:val="center"/>
        <w:textAlignment w:val="baseline"/>
        <w:rPr>
          <w:rFonts w:ascii="Arial" w:eastAsia="Arial" w:hAnsi="Arial"/>
          <w:color w:val="000000"/>
          <w:sz w:val="24"/>
          <w:lang w:val="es-ES"/>
        </w:rPr>
      </w:pPr>
      <w:r>
        <w:rPr>
          <w:rFonts w:ascii="Arial" w:eastAsia="Arial" w:hAnsi="Arial"/>
          <w:color w:val="000000"/>
          <w:sz w:val="24"/>
          <w:lang w:val="es-ES"/>
        </w:rPr>
        <w:t>Diputado de la república</w:t>
      </w:r>
    </w:p>
    <w:p w:rsidR="00264796" w:rsidRDefault="00264796" w:rsidP="004F4D83">
      <w:pPr>
        <w:spacing w:before="164" w:after="135" w:line="295" w:lineRule="exact"/>
        <w:ind w:left="72" w:right="72"/>
        <w:jc w:val="both"/>
        <w:textAlignment w:val="baseline"/>
        <w:rPr>
          <w:rFonts w:ascii="Arial" w:eastAsia="Arial" w:hAnsi="Arial"/>
          <w:color w:val="000000"/>
          <w:sz w:val="24"/>
          <w:lang w:val="es-ES"/>
        </w:rPr>
      </w:pPr>
    </w:p>
    <w:p w:rsidR="004F4D83" w:rsidRDefault="004F4D83" w:rsidP="004F4D83">
      <w:pPr>
        <w:spacing w:before="164" w:after="135" w:line="295" w:lineRule="exact"/>
        <w:ind w:left="72" w:right="72"/>
        <w:jc w:val="both"/>
        <w:textAlignment w:val="baseline"/>
        <w:rPr>
          <w:rFonts w:ascii="Arial" w:eastAsia="Arial" w:hAnsi="Arial"/>
          <w:color w:val="000000"/>
          <w:sz w:val="24"/>
          <w:lang w:val="es-ES"/>
        </w:rPr>
      </w:pPr>
    </w:p>
    <w:p w:rsidR="004F4D83" w:rsidRPr="004F4D83" w:rsidRDefault="004F4D83" w:rsidP="004F4D83">
      <w:pPr>
        <w:spacing w:before="164" w:after="135" w:line="295" w:lineRule="exact"/>
        <w:ind w:left="72" w:right="72"/>
        <w:jc w:val="both"/>
        <w:textAlignment w:val="baseline"/>
        <w:rPr>
          <w:rFonts w:ascii="Arial" w:eastAsia="Arial" w:hAnsi="Arial"/>
          <w:color w:val="000000"/>
          <w:sz w:val="24"/>
          <w:lang w:val="es-ES"/>
        </w:rPr>
        <w:sectPr w:rsidR="004F4D83" w:rsidRPr="004F4D83">
          <w:pgSz w:w="12221" w:h="15523"/>
          <w:pgMar w:top="1080" w:right="1038" w:bottom="1067" w:left="943" w:header="720" w:footer="720" w:gutter="0"/>
          <w:cols w:space="720"/>
        </w:sectPr>
      </w:pPr>
    </w:p>
    <w:p w:rsidR="00C25B5D" w:rsidRDefault="00C34B5A">
      <w:pPr>
        <w:spacing w:before="412" w:line="288" w:lineRule="exact"/>
        <w:textAlignment w:val="baseline"/>
        <w:rPr>
          <w:rFonts w:eastAsia="Times New Roman"/>
          <w:color w:val="000000"/>
          <w:sz w:val="24"/>
        </w:rPr>
      </w:pPr>
      <w:r>
        <w:pict>
          <v:shapetype id="_x0000_t202" coordsize="21600,21600" o:spt="202" path="m,l,21600r21600,l21600,xe">
            <v:stroke joinstyle="miter"/>
            <v:path gradientshapeok="t" o:connecttype="rect"/>
          </v:shapetype>
          <v:shape id="_x0000_s1037" type="#_x0000_t202" style="position:absolute;margin-left:342.95pt;margin-top:0;width:191.45pt;height:12.2pt;z-index:-251656704;mso-wrap-distance-left:0;mso-wrap-distance-right:0" filled="f" stroked="f">
            <v:textbox inset="0,0,0,0">
              <w:txbxContent>
                <w:p w:rsidR="00C25B5D" w:rsidRDefault="00C25B5D"/>
              </w:txbxContent>
            </v:textbox>
          </v:shape>
        </w:pict>
      </w:r>
      <w:r>
        <w:pict>
          <v:shape id="_x0000_s1036" type="#_x0000_t202" style="position:absolute;margin-left:259.2pt;margin-top:20.9pt;width:275.2pt;height:14.1pt;z-index:-251655680;mso-wrap-distance-left:0;mso-wrap-distance-right:0" filled="f" stroked="f">
            <v:textbox inset="0,0,0,0">
              <w:txbxContent>
                <w:p w:rsidR="00C25B5D" w:rsidRDefault="00C25B5D"/>
              </w:txbxContent>
            </v:textbox>
          </v:shape>
        </w:pict>
      </w:r>
      <w:r>
        <w:pict>
          <v:shape id="_x0000_s1035" type="#_x0000_t202" style="position:absolute;margin-left:342.95pt;margin-top:0;width:155.8pt;height:11.3pt;z-index:-251654656;mso-wrap-distance-left:0;mso-wrap-distance-right:0" filled="f" stroked="f">
            <v:textbox inset="0,0,0,0">
              <w:txbxContent>
                <w:p w:rsidR="00C25B5D" w:rsidRDefault="00264796">
                  <w:pPr>
                    <w:spacing w:line="226" w:lineRule="exact"/>
                    <w:textAlignment w:val="baseline"/>
                  </w:pPr>
                  <w:r>
                    <w:rPr>
                      <w:noProof/>
                      <w:lang w:val="es-CL" w:eastAsia="es-CL"/>
                    </w:rPr>
                    <w:drawing>
                      <wp:inline distT="0" distB="0" distL="0" distR="0">
                        <wp:extent cx="1978660" cy="143510"/>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5"/>
                                <a:stretch>
                                  <a:fillRect/>
                                </a:stretch>
                              </pic:blipFill>
                              <pic:spPr>
                                <a:xfrm>
                                  <a:off x="0" y="0"/>
                                  <a:ext cx="1978660" cy="143510"/>
                                </a:xfrm>
                                <a:prstGeom prst="rect">
                                  <a:avLst/>
                                </a:prstGeom>
                              </pic:spPr>
                            </pic:pic>
                          </a:graphicData>
                        </a:graphic>
                      </wp:inline>
                    </w:drawing>
                  </w:r>
                </w:p>
              </w:txbxContent>
            </v:textbox>
          </v:shape>
        </w:pict>
      </w:r>
      <w:r>
        <w:pict>
          <v:shape id="_x0000_s1034" type="#_x0000_t202" style="position:absolute;margin-left:342.95pt;margin-top:1.2pt;width:14.9pt;height:9.15pt;z-index:-251653632;mso-wrap-distance-left:0;mso-wrap-distance-right:0" stroked="f">
            <v:textbox inset="0,0,0,0">
              <w:txbxContent>
                <w:p w:rsidR="00C25B5D" w:rsidRDefault="00264796">
                  <w:pPr>
                    <w:spacing w:line="173" w:lineRule="exact"/>
                    <w:textAlignment w:val="baseline"/>
                    <w:rPr>
                      <w:rFonts w:ascii="Arial" w:eastAsia="Arial" w:hAnsi="Arial"/>
                      <w:b/>
                      <w:color w:val="000000"/>
                      <w:spacing w:val="-60"/>
                      <w:sz w:val="24"/>
                      <w:lang w:val="es-ES"/>
                    </w:rPr>
                  </w:pPr>
                  <w:r>
                    <w:rPr>
                      <w:rFonts w:ascii="Arial" w:eastAsia="Arial" w:hAnsi="Arial"/>
                      <w:b/>
                      <w:color w:val="000000"/>
                      <w:spacing w:val="-60"/>
                      <w:sz w:val="24"/>
                      <w:lang w:val="es-ES"/>
                    </w:rPr>
                    <w:t>NO</w:t>
                  </w:r>
                </w:p>
              </w:txbxContent>
            </v:textbox>
          </v:shape>
        </w:pict>
      </w:r>
      <w:r>
        <w:pict>
          <v:shape id="_x0000_s1032" type="#_x0000_t202" style="position:absolute;margin-left:259.2pt;margin-top:22.1pt;width:38.15pt;height:11.05pt;z-index:-251651584;mso-wrap-distance-left:0;mso-wrap-distance-right:0" stroked="f">
            <v:textbox inset="0,0,0,0">
              <w:txbxContent>
                <w:p w:rsidR="00C25B5D" w:rsidRDefault="00264796">
                  <w:pPr>
                    <w:spacing w:line="216" w:lineRule="exact"/>
                    <w:textAlignment w:val="baseline"/>
                    <w:rPr>
                      <w:rFonts w:ascii="Bookman Old Style" w:eastAsia="Bookman Old Style" w:hAnsi="Bookman Old Style"/>
                      <w:color w:val="000000"/>
                      <w:spacing w:val="-25"/>
                      <w:w w:val="75"/>
                      <w:sz w:val="31"/>
                      <w:lang w:val="es-ES"/>
                    </w:rPr>
                  </w:pPr>
                  <w:proofErr w:type="gramStart"/>
                  <w:r>
                    <w:rPr>
                      <w:rFonts w:ascii="Bookman Old Style" w:eastAsia="Bookman Old Style" w:hAnsi="Bookman Old Style"/>
                      <w:color w:val="000000"/>
                      <w:spacing w:val="-25"/>
                      <w:w w:val="75"/>
                      <w:sz w:val="31"/>
                      <w:lang w:val="es-ES"/>
                    </w:rPr>
                    <w:t>la</w:t>
                  </w:r>
                  <w:proofErr w:type="gramEnd"/>
                  <w:r>
                    <w:rPr>
                      <w:rFonts w:ascii="Bookman Old Style" w:eastAsia="Bookman Old Style" w:hAnsi="Bookman Old Style"/>
                      <w:color w:val="000000"/>
                      <w:spacing w:val="-25"/>
                      <w:w w:val="75"/>
                      <w:sz w:val="31"/>
                      <w:lang w:val="es-ES"/>
                    </w:rPr>
                    <w:t xml:space="preserve"> </w:t>
                  </w:r>
                  <w:r>
                    <w:rPr>
                      <w:rFonts w:ascii="Arial" w:eastAsia="Arial" w:hAnsi="Arial"/>
                      <w:color w:val="000000"/>
                      <w:spacing w:val="-25"/>
                      <w:sz w:val="24"/>
                      <w:lang w:val="es-ES"/>
                    </w:rPr>
                    <w:t>Repu</w:t>
                  </w:r>
                </w:p>
              </w:txbxContent>
            </v:textbox>
          </v:shape>
        </w:pict>
      </w:r>
    </w:p>
    <w:sectPr w:rsidR="00C25B5D">
      <w:type w:val="continuous"/>
      <w:pgSz w:w="12221" w:h="15523"/>
      <w:pgMar w:top="1080" w:right="1819" w:bottom="1067" w:left="89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auto"/>
    <w:panose1 w:val="02020603050405020304"/>
  </w:font>
  <w:font w:name="Bookman Old Style">
    <w:charset w:val="00"/>
    <w:pitch w:val="variable"/>
    <w:family w:val="roman"/>
    <w:panose1 w:val="02020603050405020304"/>
  </w:font>
  <w:font w:name="Courier New">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570B"/>
    <w:multiLevelType w:val="multilevel"/>
    <w:tmpl w:val="F20C3BF0"/>
    <w:lvl w:ilvl="0">
      <w:start w:val="1"/>
      <w:numFmt w:val="bullet"/>
      <w:lvlText w:val="o"/>
      <w:lvlJc w:val="left"/>
      <w:pPr>
        <w:tabs>
          <w:tab w:val="left" w:pos="216"/>
        </w:tabs>
        <w:ind w:left="720"/>
      </w:pPr>
      <w:rPr>
        <w:rFonts w:ascii="Courier New" w:eastAsia="Courier New" w:hAnsi="Courier New"/>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111EC"/>
    <w:multiLevelType w:val="multilevel"/>
    <w:tmpl w:val="76865F08"/>
    <w:lvl w:ilvl="0">
      <w:start w:val="1"/>
      <w:numFmt w:val="decimal"/>
      <w:lvlText w:val="%1."/>
      <w:lvlJc w:val="left"/>
      <w:pPr>
        <w:tabs>
          <w:tab w:val="left" w:pos="432"/>
        </w:tabs>
        <w:ind w:left="720"/>
      </w:pPr>
      <w:rPr>
        <w:rFonts w:ascii="Arial" w:eastAsia="Arial" w:hAnsi="Arial"/>
        <w:strike w:val="0"/>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C25B5D"/>
    <w:rsid w:val="00264796"/>
    <w:rsid w:val="004F4D83"/>
    <w:rsid w:val="00C25B5D"/>
    <w:rsid w:val="00C34B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08098AB5-9BC4-4DF3-9E08-D9969F73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457</Words>
  <Characters>2515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3</cp:revision>
  <dcterms:created xsi:type="dcterms:W3CDTF">2018-01-25T15:40:00Z</dcterms:created>
  <dcterms:modified xsi:type="dcterms:W3CDTF">2018-01-25T15:58:00Z</dcterms:modified>
</cp:coreProperties>
</file>