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771F0" w14:textId="69A09D56" w:rsidR="0012064E" w:rsidRDefault="00A31A5F">
      <w:pPr>
        <w:pStyle w:val="Body"/>
        <w:jc w:val="center"/>
        <w:rPr>
          <w:rFonts w:cs="Arial"/>
          <w:b/>
          <w:bCs/>
          <w:sz w:val="24"/>
          <w:szCs w:val="24"/>
        </w:rPr>
      </w:pPr>
      <w:r w:rsidRPr="006E1E70">
        <w:rPr>
          <w:rFonts w:cs="Arial"/>
          <w:b/>
          <w:bCs/>
          <w:sz w:val="24"/>
          <w:szCs w:val="24"/>
        </w:rPr>
        <w:t>Minuta</w:t>
      </w:r>
      <w:r w:rsidR="006E1E70">
        <w:rPr>
          <w:rFonts w:cs="Arial"/>
          <w:b/>
          <w:bCs/>
          <w:sz w:val="24"/>
          <w:szCs w:val="24"/>
        </w:rPr>
        <w:t xml:space="preserve"> ONG Derechos Digitales</w:t>
      </w:r>
    </w:p>
    <w:p w14:paraId="28F211C6" w14:textId="4FE2E925" w:rsidR="006E1E70" w:rsidRPr="006E1E70" w:rsidRDefault="006E1E70">
      <w:pPr>
        <w:pStyle w:val="Body"/>
        <w:jc w:val="center"/>
        <w:rPr>
          <w:rFonts w:cs="Arial"/>
          <w:sz w:val="24"/>
          <w:szCs w:val="24"/>
        </w:rPr>
      </w:pPr>
      <w:r>
        <w:rPr>
          <w:rFonts w:cs="Arial"/>
          <w:b/>
          <w:bCs/>
          <w:sz w:val="24"/>
          <w:szCs w:val="24"/>
        </w:rPr>
        <w:t>Pablo Viollier</w:t>
      </w:r>
    </w:p>
    <w:p w14:paraId="54E771F2" w14:textId="703EE8A3" w:rsidR="0012064E" w:rsidRPr="006E1E70" w:rsidRDefault="00A31A5F">
      <w:pPr>
        <w:pStyle w:val="Body"/>
        <w:jc w:val="center"/>
        <w:rPr>
          <w:rFonts w:cs="Arial"/>
          <w:sz w:val="24"/>
          <w:szCs w:val="24"/>
        </w:rPr>
      </w:pPr>
      <w:r w:rsidRPr="006E1E70">
        <w:rPr>
          <w:rFonts w:cs="Arial"/>
          <w:b/>
          <w:bCs/>
          <w:sz w:val="24"/>
          <w:szCs w:val="24"/>
          <w:lang w:val="es-ES_tradnl"/>
        </w:rPr>
        <w:t>“Derecho al Olvido”</w:t>
      </w:r>
      <w:r w:rsidR="00B90818">
        <w:rPr>
          <w:rFonts w:cs="Arial"/>
          <w:b/>
          <w:bCs/>
          <w:sz w:val="24"/>
          <w:szCs w:val="24"/>
        </w:rPr>
        <w:t xml:space="preserve"> </w:t>
      </w:r>
      <w:r w:rsidRPr="006E1E70">
        <w:rPr>
          <w:rFonts w:cs="Arial"/>
          <w:b/>
          <w:bCs/>
          <w:sz w:val="24"/>
          <w:szCs w:val="24"/>
        </w:rPr>
        <w:t>Bolet</w:t>
      </w:r>
      <w:r w:rsidRPr="006E1E70">
        <w:rPr>
          <w:rFonts w:cs="Arial"/>
          <w:b/>
          <w:bCs/>
          <w:sz w:val="24"/>
          <w:szCs w:val="24"/>
          <w:lang w:val="es-ES_tradnl"/>
        </w:rPr>
        <w:t>í</w:t>
      </w:r>
      <w:r w:rsidRPr="006E1E70">
        <w:rPr>
          <w:rFonts w:cs="Arial"/>
          <w:b/>
          <w:bCs/>
          <w:sz w:val="24"/>
          <w:szCs w:val="24"/>
        </w:rPr>
        <w:t>n N</w:t>
      </w:r>
      <w:r w:rsidRPr="006E1E70">
        <w:rPr>
          <w:rFonts w:cs="Arial"/>
          <w:b/>
          <w:bCs/>
          <w:sz w:val="24"/>
          <w:szCs w:val="24"/>
          <w:lang w:val="es-ES_tradnl"/>
        </w:rPr>
        <w:t xml:space="preserve">º </w:t>
      </w:r>
      <w:r w:rsidRPr="006E1E70">
        <w:rPr>
          <w:rFonts w:cs="Arial"/>
          <w:b/>
          <w:bCs/>
          <w:sz w:val="24"/>
          <w:szCs w:val="24"/>
        </w:rPr>
        <w:t>10608-07</w:t>
      </w:r>
    </w:p>
    <w:p w14:paraId="54E771F3" w14:textId="77777777" w:rsidR="0012064E" w:rsidRPr="006E1E70" w:rsidRDefault="0012064E">
      <w:pPr>
        <w:pStyle w:val="Body"/>
        <w:rPr>
          <w:rFonts w:cs="Arial"/>
          <w:sz w:val="24"/>
          <w:szCs w:val="24"/>
        </w:rPr>
      </w:pPr>
    </w:p>
    <w:p w14:paraId="54E771F4" w14:textId="77777777" w:rsidR="0012064E" w:rsidRPr="006E1E70" w:rsidRDefault="00A31A5F">
      <w:pPr>
        <w:pStyle w:val="Body"/>
        <w:widowControl w:val="0"/>
        <w:numPr>
          <w:ilvl w:val="0"/>
          <w:numId w:val="2"/>
        </w:numPr>
        <w:spacing w:line="240" w:lineRule="auto"/>
        <w:jc w:val="both"/>
        <w:rPr>
          <w:rFonts w:cs="Arial"/>
          <w:sz w:val="24"/>
          <w:szCs w:val="24"/>
          <w:lang w:val="es-ES_tradnl"/>
        </w:rPr>
      </w:pPr>
      <w:r w:rsidRPr="006E1E70">
        <w:rPr>
          <w:rFonts w:cs="Arial"/>
          <w:sz w:val="24"/>
          <w:szCs w:val="24"/>
          <w:lang w:val="es-ES_tradnl"/>
        </w:rPr>
        <w:t xml:space="preserve">El proyecto pretende modificar los artículos </w:t>
      </w:r>
      <w:r w:rsidRPr="006E1E70">
        <w:rPr>
          <w:rFonts w:cs="Arial"/>
          <w:b/>
          <w:bCs/>
          <w:sz w:val="24"/>
          <w:szCs w:val="24"/>
          <w:lang w:val="es-ES_tradnl"/>
        </w:rPr>
        <w:t xml:space="preserve">2, 12 y 13 de la Ley Nº </w:t>
      </w:r>
      <w:r w:rsidRPr="006E1E70">
        <w:rPr>
          <w:rFonts w:cs="Arial"/>
          <w:b/>
          <w:bCs/>
          <w:sz w:val="24"/>
          <w:szCs w:val="24"/>
        </w:rPr>
        <w:t>19.628</w:t>
      </w:r>
      <w:r w:rsidRPr="006E1E70">
        <w:rPr>
          <w:rFonts w:cs="Arial"/>
          <w:sz w:val="24"/>
          <w:szCs w:val="24"/>
          <w:lang w:val="es-ES_tradnl"/>
        </w:rPr>
        <w:t xml:space="preserve"> sobre Protección de la Vida Privada, para establecer lo que se ha denominado como "derecho al olvido" de los datos personale</w:t>
      </w:r>
      <w:bookmarkStart w:id="0" w:name="_GoBack"/>
      <w:bookmarkEnd w:id="0"/>
      <w:r w:rsidRPr="006E1E70">
        <w:rPr>
          <w:rFonts w:cs="Arial"/>
          <w:sz w:val="24"/>
          <w:szCs w:val="24"/>
          <w:lang w:val="es-ES_tradnl"/>
        </w:rPr>
        <w:t>s almacenados específicamente en motores de búsqueda y sitios web.</w:t>
      </w:r>
    </w:p>
    <w:p w14:paraId="54E771F5" w14:textId="77777777" w:rsidR="0012064E" w:rsidRPr="006E1E70" w:rsidRDefault="0012064E">
      <w:pPr>
        <w:pStyle w:val="Body"/>
        <w:widowControl w:val="0"/>
        <w:spacing w:line="240" w:lineRule="auto"/>
        <w:jc w:val="both"/>
        <w:rPr>
          <w:rFonts w:cs="Arial"/>
          <w:sz w:val="24"/>
          <w:szCs w:val="24"/>
        </w:rPr>
      </w:pPr>
    </w:p>
    <w:p w14:paraId="54E771F6" w14:textId="77777777" w:rsidR="0012064E" w:rsidRPr="006E1E70" w:rsidRDefault="00A31A5F">
      <w:pPr>
        <w:pStyle w:val="Body"/>
        <w:widowControl w:val="0"/>
        <w:numPr>
          <w:ilvl w:val="0"/>
          <w:numId w:val="2"/>
        </w:numPr>
        <w:spacing w:line="240" w:lineRule="auto"/>
        <w:jc w:val="both"/>
        <w:rPr>
          <w:rFonts w:cs="Arial"/>
          <w:sz w:val="24"/>
          <w:szCs w:val="24"/>
          <w:lang w:val="es-ES_tradnl"/>
        </w:rPr>
      </w:pPr>
      <w:r w:rsidRPr="006E1E70">
        <w:rPr>
          <w:rFonts w:cs="Arial"/>
          <w:sz w:val="24"/>
          <w:szCs w:val="24"/>
          <w:lang w:val="es-ES_tradnl"/>
        </w:rPr>
        <w:t>La justificació</w:t>
      </w:r>
      <w:r w:rsidRPr="006E1E70">
        <w:rPr>
          <w:rFonts w:cs="Arial"/>
          <w:sz w:val="24"/>
          <w:szCs w:val="24"/>
        </w:rPr>
        <w:t>n</w:t>
      </w:r>
      <w:r w:rsidRPr="006E1E70">
        <w:rPr>
          <w:rFonts w:cs="Arial"/>
          <w:sz w:val="24"/>
          <w:szCs w:val="24"/>
          <w:lang w:val="es-ES_tradnl"/>
        </w:rPr>
        <w:t xml:space="preserve"> declarada en el proyecto es asegurar el derecho de toda persona de borrar, bloquear o suprimir información personal que se considera obsoleta por el transcurso del tiempo, o que de alguna manera afecte el desarrollo de alguno de los derechos fundamentales.  Así, </w:t>
      </w:r>
    </w:p>
    <w:p w14:paraId="54E771F7" w14:textId="77777777" w:rsidR="0012064E" w:rsidRPr="006E1E70" w:rsidRDefault="0012064E">
      <w:pPr>
        <w:pStyle w:val="Body"/>
        <w:widowControl w:val="0"/>
        <w:spacing w:line="240" w:lineRule="auto"/>
        <w:jc w:val="both"/>
        <w:rPr>
          <w:rFonts w:cs="Arial"/>
          <w:sz w:val="24"/>
          <w:szCs w:val="24"/>
        </w:rPr>
      </w:pPr>
    </w:p>
    <w:p w14:paraId="54E771F8" w14:textId="77777777" w:rsidR="0012064E" w:rsidRPr="006E1E70" w:rsidRDefault="00A31A5F">
      <w:pPr>
        <w:pStyle w:val="Body"/>
        <w:widowControl w:val="0"/>
        <w:numPr>
          <w:ilvl w:val="0"/>
          <w:numId w:val="2"/>
        </w:numPr>
        <w:spacing w:line="240" w:lineRule="auto"/>
        <w:jc w:val="both"/>
        <w:rPr>
          <w:rFonts w:cs="Arial"/>
          <w:sz w:val="24"/>
          <w:szCs w:val="24"/>
          <w:lang w:val="es-ES_tradnl"/>
        </w:rPr>
      </w:pPr>
      <w:r w:rsidRPr="006E1E70">
        <w:rPr>
          <w:rFonts w:cs="Arial"/>
          <w:sz w:val="24"/>
          <w:szCs w:val="24"/>
          <w:lang w:val="es-ES_tradnl"/>
        </w:rPr>
        <w:t>el art</w:t>
      </w:r>
      <w:r w:rsidRPr="006E1E70">
        <w:rPr>
          <w:rFonts w:cs="Arial"/>
          <w:sz w:val="24"/>
          <w:szCs w:val="24"/>
        </w:rPr>
        <w:t>í</w:t>
      </w:r>
      <w:r w:rsidRPr="006E1E70">
        <w:rPr>
          <w:rFonts w:cs="Arial"/>
          <w:sz w:val="24"/>
          <w:szCs w:val="24"/>
          <w:lang w:val="es-ES_tradnl"/>
        </w:rPr>
        <w:t xml:space="preserve">culo 2, letra p) propuesto establece tres hipótesis para el ejercicio de este nuevo derecho: 1) que el dato carezca de fundamento legal, 2) que se trate de un dato caduco y 3) que se afecte el libre desarrollo de alguno de los derechos fundamentales del titular de los datos. </w:t>
      </w:r>
    </w:p>
    <w:p w14:paraId="54E771F9" w14:textId="77777777" w:rsidR="0012064E" w:rsidRPr="006E1E70" w:rsidRDefault="0012064E">
      <w:pPr>
        <w:pStyle w:val="Body"/>
        <w:widowControl w:val="0"/>
        <w:spacing w:line="240" w:lineRule="auto"/>
        <w:jc w:val="both"/>
        <w:rPr>
          <w:rFonts w:cs="Arial"/>
          <w:sz w:val="24"/>
          <w:szCs w:val="24"/>
        </w:rPr>
      </w:pPr>
    </w:p>
    <w:p w14:paraId="54E771FA" w14:textId="77777777" w:rsidR="0012064E" w:rsidRPr="006E1E70" w:rsidRDefault="00A31A5F">
      <w:pPr>
        <w:pStyle w:val="Body"/>
        <w:widowControl w:val="0"/>
        <w:numPr>
          <w:ilvl w:val="0"/>
          <w:numId w:val="2"/>
        </w:numPr>
        <w:spacing w:line="240" w:lineRule="auto"/>
        <w:jc w:val="both"/>
        <w:rPr>
          <w:rFonts w:cs="Arial"/>
          <w:sz w:val="24"/>
          <w:szCs w:val="24"/>
          <w:lang w:val="es-ES_tradnl"/>
        </w:rPr>
      </w:pPr>
      <w:r w:rsidRPr="006E1E70">
        <w:rPr>
          <w:rFonts w:cs="Arial"/>
          <w:sz w:val="24"/>
          <w:szCs w:val="24"/>
          <w:lang w:val="es-ES_tradnl"/>
        </w:rPr>
        <w:t xml:space="preserve">Al respecto, cabe mencionar que la doctrina nacional y comparada ha sido enfática en señalar que la regulación de este denominado “derecho al olvido” puede afectar gravemente el ejercicio de otros derechos fundamentales. Así, la regulación debiera considerar su impacto y su interpretación responder a un riguroso </w:t>
      </w:r>
      <w:r w:rsidRPr="006E1E70">
        <w:rPr>
          <w:rFonts w:cs="Arial"/>
          <w:b/>
          <w:bCs/>
          <w:sz w:val="24"/>
          <w:szCs w:val="24"/>
          <w:lang w:val="es-ES_tradnl"/>
        </w:rPr>
        <w:t>examen de ponderación de derechos</w:t>
      </w:r>
      <w:r w:rsidRPr="006E1E70">
        <w:rPr>
          <w:rFonts w:cs="Arial"/>
          <w:sz w:val="24"/>
          <w:szCs w:val="24"/>
          <w:lang w:val="es-ES_tradnl"/>
        </w:rPr>
        <w:t>, en atención a la posible afectación de distintos derechos fundamentales y bienes jur</w:t>
      </w:r>
      <w:r w:rsidRPr="006E1E70">
        <w:rPr>
          <w:rFonts w:cs="Arial"/>
          <w:sz w:val="24"/>
          <w:szCs w:val="24"/>
        </w:rPr>
        <w:t>í</w:t>
      </w:r>
      <w:r w:rsidRPr="006E1E70">
        <w:rPr>
          <w:rFonts w:cs="Arial"/>
          <w:sz w:val="24"/>
          <w:szCs w:val="24"/>
          <w:lang w:val="es-ES_tradnl"/>
        </w:rPr>
        <w:t>dicos protegidos, como la libertad de expresión, el derecho a obtener información, la memoria histórica y al ejercicio del periodismo de investigació</w:t>
      </w:r>
      <w:r w:rsidRPr="006E1E70">
        <w:rPr>
          <w:rFonts w:cs="Arial"/>
          <w:sz w:val="24"/>
          <w:szCs w:val="24"/>
        </w:rPr>
        <w:t xml:space="preserve">n. </w:t>
      </w:r>
    </w:p>
    <w:p w14:paraId="54E771FB" w14:textId="77777777" w:rsidR="0012064E" w:rsidRPr="006E1E70" w:rsidRDefault="0012064E">
      <w:pPr>
        <w:pStyle w:val="Body"/>
        <w:widowControl w:val="0"/>
        <w:spacing w:line="240" w:lineRule="auto"/>
        <w:jc w:val="both"/>
        <w:rPr>
          <w:rFonts w:cs="Arial"/>
          <w:sz w:val="24"/>
          <w:szCs w:val="24"/>
        </w:rPr>
      </w:pPr>
    </w:p>
    <w:p w14:paraId="54E771FC" w14:textId="77777777" w:rsidR="0012064E" w:rsidRPr="006E1E70" w:rsidRDefault="00A31A5F">
      <w:pPr>
        <w:pStyle w:val="Body"/>
        <w:widowControl w:val="0"/>
        <w:numPr>
          <w:ilvl w:val="0"/>
          <w:numId w:val="2"/>
        </w:numPr>
        <w:spacing w:line="240" w:lineRule="auto"/>
        <w:jc w:val="both"/>
        <w:rPr>
          <w:rFonts w:cs="Arial"/>
          <w:sz w:val="24"/>
          <w:szCs w:val="24"/>
          <w:lang w:val="es-ES_tradnl"/>
        </w:rPr>
      </w:pPr>
      <w:r w:rsidRPr="006E1E70">
        <w:rPr>
          <w:rFonts w:cs="Arial"/>
          <w:sz w:val="24"/>
          <w:szCs w:val="24"/>
          <w:lang w:val="es-ES_tradnl"/>
        </w:rPr>
        <w:t>No obstante lo anterior, las causales establecidas por el art</w:t>
      </w:r>
      <w:r w:rsidRPr="006E1E70">
        <w:rPr>
          <w:rFonts w:cs="Arial"/>
          <w:sz w:val="24"/>
          <w:szCs w:val="24"/>
        </w:rPr>
        <w:t>í</w:t>
      </w:r>
      <w:r w:rsidRPr="006E1E70">
        <w:rPr>
          <w:rFonts w:cs="Arial"/>
          <w:sz w:val="24"/>
          <w:szCs w:val="24"/>
          <w:lang w:val="es-ES_tradnl"/>
        </w:rPr>
        <w:t>culo 2, letra p) propuesto est</w:t>
      </w:r>
      <w:r w:rsidRPr="006E1E70">
        <w:rPr>
          <w:rFonts w:cs="Arial"/>
          <w:sz w:val="24"/>
          <w:szCs w:val="24"/>
        </w:rPr>
        <w:t xml:space="preserve">án </w:t>
      </w:r>
      <w:r w:rsidRPr="006E1E70">
        <w:rPr>
          <w:rFonts w:cs="Arial"/>
          <w:b/>
          <w:bCs/>
          <w:sz w:val="24"/>
          <w:szCs w:val="24"/>
          <w:lang w:val="es-ES_tradnl"/>
        </w:rPr>
        <w:t>redactadas el t</w:t>
      </w:r>
      <w:r w:rsidRPr="006E1E70">
        <w:rPr>
          <w:rFonts w:cs="Arial"/>
          <w:b/>
          <w:bCs/>
          <w:sz w:val="24"/>
          <w:szCs w:val="24"/>
          <w:lang w:val="fr-FR"/>
        </w:rPr>
        <w:t>é</w:t>
      </w:r>
      <w:r w:rsidRPr="006E1E70">
        <w:rPr>
          <w:rFonts w:cs="Arial"/>
          <w:b/>
          <w:bCs/>
          <w:sz w:val="24"/>
          <w:szCs w:val="24"/>
          <w:lang w:val="pt-PT"/>
        </w:rPr>
        <w:t>rminos excesivamente amplios</w:t>
      </w:r>
      <w:r w:rsidRPr="006E1E70">
        <w:rPr>
          <w:rFonts w:cs="Arial"/>
          <w:sz w:val="24"/>
          <w:szCs w:val="24"/>
          <w:lang w:val="es-ES_tradnl"/>
        </w:rPr>
        <w:t>, lo que dificulta la correcta ponderación de los derechos en juego. Paradójicamente</w:t>
      </w:r>
      <w:r w:rsidRPr="006E1E70">
        <w:rPr>
          <w:rFonts w:cs="Arial"/>
          <w:sz w:val="24"/>
          <w:szCs w:val="24"/>
        </w:rPr>
        <w:t xml:space="preserve">, </w:t>
      </w:r>
      <w:r w:rsidRPr="006E1E70">
        <w:rPr>
          <w:rFonts w:cs="Arial"/>
          <w:sz w:val="24"/>
          <w:szCs w:val="24"/>
          <w:lang w:val="es-ES_tradnl"/>
        </w:rPr>
        <w:t>y a modo ejemplar, a pesar de que los fundamentos del proyecto mencionan como criterios para el ejercicio del derecho el transcurso del tiempo y que el titular no tenga el car</w:t>
      </w:r>
      <w:r w:rsidRPr="006E1E70">
        <w:rPr>
          <w:rFonts w:cs="Arial"/>
          <w:sz w:val="24"/>
          <w:szCs w:val="24"/>
        </w:rPr>
        <w:t>á</w:t>
      </w:r>
      <w:r w:rsidRPr="006E1E70">
        <w:rPr>
          <w:rFonts w:cs="Arial"/>
          <w:sz w:val="24"/>
          <w:szCs w:val="24"/>
          <w:lang w:val="es-ES_tradnl"/>
        </w:rPr>
        <w:t>cter de figura p</w:t>
      </w:r>
      <w:r w:rsidRPr="006E1E70">
        <w:rPr>
          <w:rFonts w:cs="Arial"/>
          <w:sz w:val="24"/>
          <w:szCs w:val="24"/>
        </w:rPr>
        <w:t>ú</w:t>
      </w:r>
      <w:r w:rsidRPr="006E1E70">
        <w:rPr>
          <w:rFonts w:cs="Arial"/>
          <w:sz w:val="24"/>
          <w:szCs w:val="24"/>
          <w:lang w:val="es-ES_tradnl"/>
        </w:rPr>
        <w:t>blica, estos no est</w:t>
      </w:r>
      <w:r w:rsidRPr="006E1E70">
        <w:rPr>
          <w:rFonts w:cs="Arial"/>
          <w:sz w:val="24"/>
          <w:szCs w:val="24"/>
        </w:rPr>
        <w:t>á</w:t>
      </w:r>
      <w:r w:rsidRPr="006E1E70">
        <w:rPr>
          <w:rFonts w:cs="Arial"/>
          <w:sz w:val="24"/>
          <w:szCs w:val="24"/>
          <w:lang w:val="es-ES_tradnl"/>
        </w:rPr>
        <w:t xml:space="preserve">n contenidos en las disposiciones del proyecto. </w:t>
      </w:r>
    </w:p>
    <w:p w14:paraId="54E771FD" w14:textId="77777777" w:rsidR="0012064E" w:rsidRPr="006E1E70" w:rsidRDefault="0012064E">
      <w:pPr>
        <w:pStyle w:val="Body"/>
        <w:widowControl w:val="0"/>
        <w:spacing w:line="240" w:lineRule="auto"/>
        <w:jc w:val="both"/>
        <w:rPr>
          <w:rFonts w:cs="Arial"/>
          <w:sz w:val="24"/>
          <w:szCs w:val="24"/>
        </w:rPr>
      </w:pPr>
    </w:p>
    <w:p w14:paraId="54E771FE" w14:textId="77777777" w:rsidR="0012064E" w:rsidRPr="006E1E70" w:rsidRDefault="00A31A5F">
      <w:pPr>
        <w:pStyle w:val="Body"/>
        <w:widowControl w:val="0"/>
        <w:numPr>
          <w:ilvl w:val="0"/>
          <w:numId w:val="2"/>
        </w:numPr>
        <w:spacing w:line="240" w:lineRule="auto"/>
        <w:jc w:val="both"/>
        <w:rPr>
          <w:rFonts w:cs="Arial"/>
          <w:sz w:val="24"/>
          <w:szCs w:val="24"/>
          <w:lang w:val="es-ES_tradnl"/>
        </w:rPr>
      </w:pPr>
      <w:r w:rsidRPr="006E1E70">
        <w:rPr>
          <w:rFonts w:cs="Arial"/>
          <w:sz w:val="24"/>
          <w:szCs w:val="24"/>
          <w:lang w:val="es-ES_tradnl"/>
        </w:rPr>
        <w:t>Lo mismo puede decirse de las insuficientes excepciones y limitaciones establecidas por la ley para el ejercicio de este nuevo derecho. Los incisos propuestos al art</w:t>
      </w:r>
      <w:r w:rsidRPr="006E1E70">
        <w:rPr>
          <w:rFonts w:cs="Arial"/>
          <w:sz w:val="24"/>
          <w:szCs w:val="24"/>
        </w:rPr>
        <w:t>í</w:t>
      </w:r>
      <w:r w:rsidRPr="006E1E70">
        <w:rPr>
          <w:rFonts w:cs="Arial"/>
          <w:sz w:val="24"/>
          <w:szCs w:val="24"/>
          <w:lang w:val="pt-PT"/>
        </w:rPr>
        <w:t>culo 12 s</w:t>
      </w:r>
      <w:r w:rsidRPr="006E1E70">
        <w:rPr>
          <w:rFonts w:cs="Arial"/>
          <w:sz w:val="24"/>
          <w:szCs w:val="24"/>
          <w:lang w:val="es-ES_tradnl"/>
        </w:rPr>
        <w:t>ólo establecen que este derecho no podr</w:t>
      </w:r>
      <w:r w:rsidRPr="006E1E70">
        <w:rPr>
          <w:rFonts w:cs="Arial"/>
          <w:sz w:val="24"/>
          <w:szCs w:val="24"/>
        </w:rPr>
        <w:t xml:space="preserve">á </w:t>
      </w:r>
      <w:r w:rsidRPr="006E1E70">
        <w:rPr>
          <w:rFonts w:cs="Arial"/>
          <w:sz w:val="24"/>
          <w:szCs w:val="24"/>
          <w:lang w:val="es-ES_tradnl"/>
        </w:rPr>
        <w:t>ejercerse respecto de información publicada en medios de comunicación social, pero no se refiere a información que habi</w:t>
      </w:r>
      <w:r w:rsidRPr="006E1E70">
        <w:rPr>
          <w:rFonts w:cs="Arial"/>
          <w:sz w:val="24"/>
          <w:szCs w:val="24"/>
          <w:lang w:val="fr-FR"/>
        </w:rPr>
        <w:t>é</w:t>
      </w:r>
      <w:r w:rsidRPr="006E1E70">
        <w:rPr>
          <w:rFonts w:cs="Arial"/>
          <w:sz w:val="24"/>
          <w:szCs w:val="24"/>
          <w:lang w:val="es-ES_tradnl"/>
        </w:rPr>
        <w:t>ndose publicado en un medio distinto que uno social de comunicación, cumple con un inter</w:t>
      </w:r>
      <w:r w:rsidRPr="006E1E70">
        <w:rPr>
          <w:rFonts w:cs="Arial"/>
          <w:sz w:val="24"/>
          <w:szCs w:val="24"/>
          <w:lang w:val="fr-FR"/>
        </w:rPr>
        <w:t>és p</w:t>
      </w:r>
      <w:r w:rsidRPr="006E1E70">
        <w:rPr>
          <w:rFonts w:cs="Arial"/>
          <w:sz w:val="24"/>
          <w:szCs w:val="24"/>
        </w:rPr>
        <w:t>ú</w:t>
      </w:r>
      <w:r w:rsidRPr="006E1E70">
        <w:rPr>
          <w:rFonts w:cs="Arial"/>
          <w:sz w:val="24"/>
          <w:szCs w:val="24"/>
          <w:lang w:val="es-ES_tradnl"/>
        </w:rPr>
        <w:t>blico. Del mismo modo, el proyecto except</w:t>
      </w:r>
      <w:r w:rsidRPr="006E1E70">
        <w:rPr>
          <w:rFonts w:cs="Arial"/>
          <w:sz w:val="24"/>
          <w:szCs w:val="24"/>
        </w:rPr>
        <w:t>ú</w:t>
      </w:r>
      <w:r w:rsidRPr="006E1E70">
        <w:rPr>
          <w:rFonts w:cs="Arial"/>
          <w:sz w:val="24"/>
          <w:szCs w:val="24"/>
          <w:lang w:val="es-ES_tradnl"/>
        </w:rPr>
        <w:t>a el tratamiento de datos realizado por organismos p</w:t>
      </w:r>
      <w:r w:rsidRPr="006E1E70">
        <w:rPr>
          <w:rFonts w:cs="Arial"/>
          <w:sz w:val="24"/>
          <w:szCs w:val="24"/>
        </w:rPr>
        <w:t>ú</w:t>
      </w:r>
      <w:r w:rsidRPr="006E1E70">
        <w:rPr>
          <w:rFonts w:cs="Arial"/>
          <w:sz w:val="24"/>
          <w:szCs w:val="24"/>
          <w:lang w:val="es-ES_tradnl"/>
        </w:rPr>
        <w:t xml:space="preserve">blicos, pero no establece una serie de otras excepciones y limitaciones reconocidas por la doctrina comparada como necesaria para que el ejercicio de este derecho no afecta otros derechos constitucionales. </w:t>
      </w:r>
    </w:p>
    <w:p w14:paraId="54E771FF" w14:textId="77777777" w:rsidR="0012064E" w:rsidRPr="006E1E70" w:rsidRDefault="0012064E">
      <w:pPr>
        <w:pStyle w:val="Body"/>
        <w:widowControl w:val="0"/>
        <w:spacing w:line="240" w:lineRule="auto"/>
        <w:jc w:val="both"/>
        <w:rPr>
          <w:rFonts w:cs="Arial"/>
          <w:sz w:val="24"/>
          <w:szCs w:val="24"/>
        </w:rPr>
      </w:pPr>
    </w:p>
    <w:p w14:paraId="54E77200" w14:textId="77777777" w:rsidR="0012064E" w:rsidRPr="006E1E70" w:rsidRDefault="00A31A5F">
      <w:pPr>
        <w:pStyle w:val="Body"/>
        <w:widowControl w:val="0"/>
        <w:numPr>
          <w:ilvl w:val="0"/>
          <w:numId w:val="2"/>
        </w:numPr>
        <w:spacing w:line="240" w:lineRule="auto"/>
        <w:jc w:val="both"/>
        <w:rPr>
          <w:rFonts w:cs="Arial"/>
          <w:sz w:val="24"/>
          <w:szCs w:val="24"/>
          <w:lang w:val="es-ES_tradnl"/>
        </w:rPr>
      </w:pPr>
      <w:r w:rsidRPr="006E1E70">
        <w:rPr>
          <w:rFonts w:cs="Arial"/>
          <w:sz w:val="24"/>
          <w:szCs w:val="24"/>
          <w:lang w:val="es-ES_tradnl"/>
        </w:rPr>
        <w:t>En conexión con lo anterior, el proyecto no resuelve asuntos que han sido considerado fundamentales en la discusión sobre “derecho al olvido” que se ha llevado a cabo a nivel comparado en los últimos años, entre otros</w:t>
      </w:r>
      <w:r w:rsidRPr="006E1E70">
        <w:rPr>
          <w:rFonts w:cs="Arial"/>
          <w:sz w:val="24"/>
          <w:szCs w:val="24"/>
        </w:rPr>
        <w:t xml:space="preserve">: 1) </w:t>
      </w:r>
      <w:r w:rsidRPr="006E1E70">
        <w:rPr>
          <w:rFonts w:cs="Arial"/>
          <w:sz w:val="24"/>
          <w:szCs w:val="24"/>
          <w:lang w:val="es-ES_tradnl"/>
        </w:rPr>
        <w:t>El derecho al olvido no debiera</w:t>
      </w:r>
      <w:r w:rsidRPr="006E1E70">
        <w:rPr>
          <w:rFonts w:cs="Arial"/>
          <w:sz w:val="24"/>
          <w:szCs w:val="24"/>
        </w:rPr>
        <w:t xml:space="preserve"> </w:t>
      </w:r>
      <w:r w:rsidRPr="006E1E70">
        <w:rPr>
          <w:rFonts w:cs="Arial"/>
          <w:sz w:val="24"/>
          <w:szCs w:val="24"/>
          <w:lang w:val="es-ES_tradnl"/>
        </w:rPr>
        <w:t>suponer</w:t>
      </w:r>
      <w:r w:rsidRPr="006E1E70">
        <w:rPr>
          <w:rFonts w:cs="Arial"/>
          <w:sz w:val="24"/>
          <w:szCs w:val="24"/>
        </w:rPr>
        <w:t xml:space="preserve"> la desindexaci</w:t>
      </w:r>
      <w:r w:rsidRPr="006E1E70">
        <w:rPr>
          <w:rFonts w:cs="Arial"/>
          <w:sz w:val="24"/>
          <w:szCs w:val="24"/>
          <w:lang w:val="es-ES_tradnl"/>
        </w:rPr>
        <w:t>ón de enlaces necesarios para la investigació</w:t>
      </w:r>
      <w:r w:rsidRPr="006E1E70">
        <w:rPr>
          <w:rFonts w:cs="Arial"/>
          <w:sz w:val="24"/>
          <w:szCs w:val="24"/>
        </w:rPr>
        <w:t>n hist</w:t>
      </w:r>
      <w:r w:rsidRPr="006E1E70">
        <w:rPr>
          <w:rFonts w:cs="Arial"/>
          <w:sz w:val="24"/>
          <w:szCs w:val="24"/>
          <w:lang w:val="es-ES_tradnl"/>
        </w:rPr>
        <w:t>órica, estad</w:t>
      </w:r>
      <w:r w:rsidRPr="006E1E70">
        <w:rPr>
          <w:rFonts w:cs="Arial"/>
          <w:sz w:val="24"/>
          <w:szCs w:val="24"/>
        </w:rPr>
        <w:t>í</w:t>
      </w:r>
      <w:r w:rsidRPr="006E1E70">
        <w:rPr>
          <w:rFonts w:cs="Arial"/>
          <w:sz w:val="24"/>
          <w:szCs w:val="24"/>
          <w:lang w:val="pt-PT"/>
        </w:rPr>
        <w:t xml:space="preserve">stica o </w:t>
      </w:r>
      <w:r w:rsidRPr="006E1E70">
        <w:rPr>
          <w:rFonts w:cs="Arial"/>
          <w:sz w:val="24"/>
          <w:szCs w:val="24"/>
          <w:lang w:val="es-ES_tradnl"/>
        </w:rPr>
        <w:t>para</w:t>
      </w:r>
      <w:r w:rsidRPr="006E1E70">
        <w:rPr>
          <w:rFonts w:cs="Arial"/>
          <w:sz w:val="24"/>
          <w:szCs w:val="24"/>
          <w:lang w:val="it-IT"/>
        </w:rPr>
        <w:t xml:space="preserve"> prop</w:t>
      </w:r>
      <w:r w:rsidRPr="006E1E70">
        <w:rPr>
          <w:rFonts w:cs="Arial"/>
          <w:sz w:val="24"/>
          <w:szCs w:val="24"/>
          <w:lang w:val="es-ES_tradnl"/>
        </w:rPr>
        <w:t>ósitos de investigació</w:t>
      </w:r>
      <w:r w:rsidRPr="006E1E70">
        <w:rPr>
          <w:rFonts w:cs="Arial"/>
          <w:sz w:val="24"/>
          <w:szCs w:val="24"/>
        </w:rPr>
        <w:t xml:space="preserve">n 2) </w:t>
      </w:r>
      <w:r w:rsidRPr="006E1E70">
        <w:rPr>
          <w:rFonts w:cs="Arial"/>
          <w:sz w:val="24"/>
          <w:szCs w:val="24"/>
          <w:lang w:val="es-ES_tradnl"/>
        </w:rPr>
        <w:t xml:space="preserve">El derecho al olvido no debe </w:t>
      </w:r>
      <w:r w:rsidRPr="006E1E70">
        <w:rPr>
          <w:rFonts w:cs="Arial"/>
          <w:sz w:val="24"/>
          <w:szCs w:val="24"/>
          <w:lang w:val="pt-PT"/>
        </w:rPr>
        <w:t>ser utilizado para eliminar resultados de b</w:t>
      </w:r>
      <w:r w:rsidRPr="006E1E70">
        <w:rPr>
          <w:rFonts w:cs="Arial"/>
          <w:sz w:val="24"/>
          <w:szCs w:val="24"/>
        </w:rPr>
        <w:t>ú</w:t>
      </w:r>
      <w:r w:rsidRPr="006E1E70">
        <w:rPr>
          <w:rFonts w:cs="Arial"/>
          <w:sz w:val="24"/>
          <w:szCs w:val="24"/>
          <w:lang w:val="es-ES_tradnl"/>
        </w:rPr>
        <w:t>squeda relacionados con figuras p</w:t>
      </w:r>
      <w:r w:rsidRPr="006E1E70">
        <w:rPr>
          <w:rFonts w:cs="Arial"/>
          <w:sz w:val="24"/>
          <w:szCs w:val="24"/>
        </w:rPr>
        <w:t>ú</w:t>
      </w:r>
      <w:r w:rsidRPr="006E1E70">
        <w:rPr>
          <w:rFonts w:cs="Arial"/>
          <w:sz w:val="24"/>
          <w:szCs w:val="24"/>
          <w:lang w:val="es-ES_tradnl"/>
        </w:rPr>
        <w:t>blicas o informació</w:t>
      </w:r>
      <w:r w:rsidRPr="006E1E70">
        <w:rPr>
          <w:rFonts w:cs="Arial"/>
          <w:sz w:val="24"/>
          <w:szCs w:val="24"/>
          <w:lang w:val="nl-NL"/>
        </w:rPr>
        <w:t>n de inter</w:t>
      </w:r>
      <w:r w:rsidRPr="006E1E70">
        <w:rPr>
          <w:rFonts w:cs="Arial"/>
          <w:sz w:val="24"/>
          <w:szCs w:val="24"/>
          <w:lang w:val="fr-FR"/>
        </w:rPr>
        <w:t>és p</w:t>
      </w:r>
      <w:r w:rsidRPr="006E1E70">
        <w:rPr>
          <w:rFonts w:cs="Arial"/>
          <w:sz w:val="24"/>
          <w:szCs w:val="24"/>
        </w:rPr>
        <w:t>ú</w:t>
      </w:r>
      <w:r w:rsidRPr="006E1E70">
        <w:rPr>
          <w:rFonts w:cs="Arial"/>
          <w:sz w:val="24"/>
          <w:szCs w:val="24"/>
          <w:lang w:val="it-IT"/>
        </w:rPr>
        <w:t xml:space="preserve">blico 3) </w:t>
      </w:r>
      <w:r w:rsidRPr="006E1E70">
        <w:rPr>
          <w:rFonts w:cs="Arial"/>
          <w:sz w:val="24"/>
          <w:szCs w:val="24"/>
          <w:lang w:val="es-ES_tradnl"/>
        </w:rPr>
        <w:t xml:space="preserve">El derecho al olvido puede impedir la indexación de nombres para asegurar la </w:t>
      </w:r>
      <w:r w:rsidRPr="006E1E70">
        <w:rPr>
          <w:rFonts w:cs="Arial"/>
          <w:sz w:val="24"/>
          <w:szCs w:val="24"/>
          <w:lang w:val="es-ES_tradnl"/>
        </w:rPr>
        <w:lastRenderedPageBreak/>
        <w:t>disponibilidad de contenido para efectos de investigació</w:t>
      </w:r>
      <w:r w:rsidRPr="006E1E70">
        <w:rPr>
          <w:rFonts w:cs="Arial"/>
          <w:sz w:val="24"/>
          <w:szCs w:val="24"/>
        </w:rPr>
        <w:t>n hist</w:t>
      </w:r>
      <w:r w:rsidRPr="006E1E70">
        <w:rPr>
          <w:rFonts w:cs="Arial"/>
          <w:sz w:val="24"/>
          <w:szCs w:val="24"/>
          <w:lang w:val="es-ES_tradnl"/>
        </w:rPr>
        <w:t>ó</w:t>
      </w:r>
      <w:r w:rsidRPr="006E1E70">
        <w:rPr>
          <w:rFonts w:cs="Arial"/>
          <w:sz w:val="24"/>
          <w:szCs w:val="24"/>
          <w:lang w:val="it-IT"/>
        </w:rPr>
        <w:t xml:space="preserve">rica, 4) </w:t>
      </w:r>
      <w:r w:rsidRPr="006E1E70">
        <w:rPr>
          <w:rFonts w:cs="Arial"/>
          <w:sz w:val="24"/>
          <w:szCs w:val="24"/>
          <w:lang w:val="es-ES_tradnl"/>
        </w:rPr>
        <w:t>El derecho al olvido suele confundir la eliminació</w:t>
      </w:r>
      <w:r w:rsidRPr="006E1E70">
        <w:rPr>
          <w:rFonts w:cs="Arial"/>
          <w:sz w:val="24"/>
          <w:szCs w:val="24"/>
          <w:lang w:val="de-DE"/>
        </w:rPr>
        <w:t>n de</w:t>
      </w:r>
      <w:r w:rsidRPr="006E1E70">
        <w:rPr>
          <w:rFonts w:cs="Arial"/>
          <w:sz w:val="24"/>
          <w:szCs w:val="24"/>
          <w:lang w:val="es-ES_tradnl"/>
        </w:rPr>
        <w:t xml:space="preserve"> un </w:t>
      </w:r>
      <w:r w:rsidRPr="006E1E70">
        <w:rPr>
          <w:rFonts w:cs="Arial"/>
          <w:sz w:val="24"/>
          <w:szCs w:val="24"/>
          <w:lang w:val="it-IT"/>
        </w:rPr>
        <w:t xml:space="preserve">dato personal </w:t>
      </w:r>
      <w:r w:rsidRPr="006E1E70">
        <w:rPr>
          <w:rFonts w:cs="Arial"/>
          <w:sz w:val="24"/>
          <w:szCs w:val="24"/>
          <w:lang w:val="es-ES_tradnl"/>
        </w:rPr>
        <w:t>con la</w:t>
      </w:r>
      <w:r w:rsidRPr="006E1E70">
        <w:rPr>
          <w:rFonts w:cs="Arial"/>
          <w:sz w:val="24"/>
          <w:szCs w:val="24"/>
        </w:rPr>
        <w:t xml:space="preserve"> desindexaci</w:t>
      </w:r>
      <w:r w:rsidRPr="006E1E70">
        <w:rPr>
          <w:rFonts w:cs="Arial"/>
          <w:sz w:val="24"/>
          <w:szCs w:val="24"/>
          <w:lang w:val="es-ES_tradnl"/>
        </w:rPr>
        <w:t>ó</w:t>
      </w:r>
      <w:r w:rsidRPr="006E1E70">
        <w:rPr>
          <w:rFonts w:cs="Arial"/>
          <w:sz w:val="24"/>
          <w:szCs w:val="24"/>
          <w:lang w:val="de-DE"/>
        </w:rPr>
        <w:t>n de</w:t>
      </w:r>
      <w:r w:rsidRPr="006E1E70">
        <w:rPr>
          <w:rFonts w:cs="Arial"/>
          <w:sz w:val="24"/>
          <w:szCs w:val="24"/>
        </w:rPr>
        <w:t xml:space="preserve"> ví</w:t>
      </w:r>
      <w:r w:rsidRPr="006E1E70">
        <w:rPr>
          <w:rFonts w:cs="Arial"/>
          <w:sz w:val="24"/>
          <w:szCs w:val="24"/>
          <w:lang w:val="es-ES_tradnl"/>
        </w:rPr>
        <w:t>nculos en cuestión de los resultados de b</w:t>
      </w:r>
      <w:r w:rsidRPr="006E1E70">
        <w:rPr>
          <w:rFonts w:cs="Arial"/>
          <w:sz w:val="24"/>
          <w:szCs w:val="24"/>
        </w:rPr>
        <w:t>ú</w:t>
      </w:r>
      <w:r w:rsidRPr="006E1E70">
        <w:rPr>
          <w:rFonts w:cs="Arial"/>
          <w:sz w:val="24"/>
          <w:szCs w:val="24"/>
          <w:lang w:val="es-ES_tradnl"/>
        </w:rPr>
        <w:t>squeda y el derecho al olvido no debiera suponer nunca la eliminación del contenido en sí mismo y 5) Siempre la regulación debiera explorar medidas menos gravosas, como el añadir una capa de contenido que pueda contener aclaraciones o actualizaciones de datos que resulten problem</w:t>
      </w:r>
      <w:r w:rsidRPr="006E1E70">
        <w:rPr>
          <w:rFonts w:cs="Arial"/>
          <w:sz w:val="24"/>
          <w:szCs w:val="24"/>
        </w:rPr>
        <w:t>á</w:t>
      </w:r>
      <w:r w:rsidRPr="006E1E70">
        <w:rPr>
          <w:rFonts w:cs="Arial"/>
          <w:sz w:val="24"/>
          <w:szCs w:val="24"/>
          <w:lang w:val="es-ES_tradnl"/>
        </w:rPr>
        <w:t xml:space="preserve">ticos a su titular. </w:t>
      </w:r>
    </w:p>
    <w:p w14:paraId="54E77201" w14:textId="77777777" w:rsidR="0012064E" w:rsidRPr="006E1E70" w:rsidRDefault="0012064E">
      <w:pPr>
        <w:pStyle w:val="Body"/>
        <w:widowControl w:val="0"/>
        <w:spacing w:line="240" w:lineRule="auto"/>
        <w:jc w:val="both"/>
        <w:rPr>
          <w:rFonts w:cs="Arial"/>
          <w:sz w:val="24"/>
          <w:szCs w:val="24"/>
        </w:rPr>
      </w:pPr>
    </w:p>
    <w:p w14:paraId="54E77202" w14:textId="77777777" w:rsidR="0012064E" w:rsidRPr="006E1E70" w:rsidRDefault="00A31A5F">
      <w:pPr>
        <w:pStyle w:val="Body"/>
        <w:widowControl w:val="0"/>
        <w:numPr>
          <w:ilvl w:val="0"/>
          <w:numId w:val="2"/>
        </w:numPr>
        <w:spacing w:line="240" w:lineRule="auto"/>
        <w:jc w:val="both"/>
        <w:rPr>
          <w:rFonts w:cs="Arial"/>
          <w:sz w:val="24"/>
          <w:szCs w:val="24"/>
          <w:lang w:val="es-ES_tradnl"/>
        </w:rPr>
      </w:pPr>
      <w:r w:rsidRPr="006E1E70">
        <w:rPr>
          <w:rFonts w:cs="Arial"/>
          <w:sz w:val="24"/>
          <w:szCs w:val="24"/>
          <w:lang w:val="es-ES_tradnl"/>
        </w:rPr>
        <w:t>El proyecto tambi</w:t>
      </w:r>
      <w:r w:rsidRPr="006E1E70">
        <w:rPr>
          <w:rFonts w:cs="Arial"/>
          <w:sz w:val="24"/>
          <w:szCs w:val="24"/>
          <w:lang w:val="fr-FR"/>
        </w:rPr>
        <w:t>é</w:t>
      </w:r>
      <w:r w:rsidRPr="006E1E70">
        <w:rPr>
          <w:rFonts w:cs="Arial"/>
          <w:sz w:val="24"/>
          <w:szCs w:val="24"/>
          <w:lang w:val="es-ES_tradnl"/>
        </w:rPr>
        <w:t>n presenta una serie de dificultades en t</w:t>
      </w:r>
      <w:r w:rsidRPr="006E1E70">
        <w:rPr>
          <w:rFonts w:cs="Arial"/>
          <w:sz w:val="24"/>
          <w:szCs w:val="24"/>
          <w:lang w:val="fr-FR"/>
        </w:rPr>
        <w:t>é</w:t>
      </w:r>
      <w:r w:rsidRPr="006E1E70">
        <w:rPr>
          <w:rFonts w:cs="Arial"/>
          <w:sz w:val="24"/>
          <w:szCs w:val="24"/>
          <w:lang w:val="pt-PT"/>
        </w:rPr>
        <w:t>rminos org</w:t>
      </w:r>
      <w:r w:rsidRPr="006E1E70">
        <w:rPr>
          <w:rFonts w:cs="Arial"/>
          <w:sz w:val="24"/>
          <w:szCs w:val="24"/>
        </w:rPr>
        <w:t>á</w:t>
      </w:r>
      <w:r w:rsidRPr="006E1E70">
        <w:rPr>
          <w:rFonts w:cs="Arial"/>
          <w:sz w:val="24"/>
          <w:szCs w:val="24"/>
          <w:lang w:val="es-ES_tradnl"/>
        </w:rPr>
        <w:t>nicos y procesales. No establece ning</w:t>
      </w:r>
      <w:r w:rsidRPr="006E1E70">
        <w:rPr>
          <w:rFonts w:cs="Arial"/>
          <w:sz w:val="24"/>
          <w:szCs w:val="24"/>
        </w:rPr>
        <w:t>ú</w:t>
      </w:r>
      <w:r w:rsidRPr="006E1E70">
        <w:rPr>
          <w:rFonts w:cs="Arial"/>
          <w:sz w:val="24"/>
          <w:szCs w:val="24"/>
          <w:lang w:val="es-ES_tradnl"/>
        </w:rPr>
        <w:t>n procedimiento especial para el ejercicio del derecho propuesto, por lo que es necesario asumir que su reclamación estar</w:t>
      </w:r>
      <w:r w:rsidRPr="006E1E70">
        <w:rPr>
          <w:rFonts w:cs="Arial"/>
          <w:sz w:val="24"/>
          <w:szCs w:val="24"/>
        </w:rPr>
        <w:t xml:space="preserve">á </w:t>
      </w:r>
      <w:r w:rsidRPr="006E1E70">
        <w:rPr>
          <w:rFonts w:cs="Arial"/>
          <w:sz w:val="24"/>
          <w:szCs w:val="24"/>
          <w:lang w:val="es-ES_tradnl"/>
        </w:rPr>
        <w:t>sujeta al mismo procedimiento que el derecho a cancelación ya establecido en el art</w:t>
      </w:r>
      <w:r w:rsidRPr="006E1E70">
        <w:rPr>
          <w:rFonts w:cs="Arial"/>
          <w:sz w:val="24"/>
          <w:szCs w:val="24"/>
        </w:rPr>
        <w:t>í</w:t>
      </w:r>
      <w:r w:rsidRPr="006E1E70">
        <w:rPr>
          <w:rFonts w:cs="Arial"/>
          <w:sz w:val="24"/>
          <w:szCs w:val="24"/>
          <w:lang w:val="es-ES_tradnl"/>
        </w:rPr>
        <w:t>culo 6 de la Ley 19.628. M</w:t>
      </w:r>
      <w:r w:rsidRPr="006E1E70">
        <w:rPr>
          <w:rFonts w:cs="Arial"/>
          <w:sz w:val="24"/>
          <w:szCs w:val="24"/>
        </w:rPr>
        <w:t>á</w:t>
      </w:r>
      <w:r w:rsidRPr="006E1E70">
        <w:rPr>
          <w:rFonts w:cs="Arial"/>
          <w:sz w:val="24"/>
          <w:szCs w:val="24"/>
          <w:lang w:val="pt-PT"/>
        </w:rPr>
        <w:t>s preocupante a</w:t>
      </w:r>
      <w:r w:rsidRPr="006E1E70">
        <w:rPr>
          <w:rFonts w:cs="Arial"/>
          <w:sz w:val="24"/>
          <w:szCs w:val="24"/>
        </w:rPr>
        <w:t>ú</w:t>
      </w:r>
      <w:r w:rsidRPr="006E1E70">
        <w:rPr>
          <w:rFonts w:cs="Arial"/>
          <w:sz w:val="24"/>
          <w:szCs w:val="24"/>
          <w:lang w:val="es-ES_tradnl"/>
        </w:rPr>
        <w:t>n, es que al no existir una autoridad administrativa de protección de datos personales ni una institucionalidad robusta que permita hacer aplicables las disposiciones de la Ley 19.628, las reclamaciones respecto de este derecho ser</w:t>
      </w:r>
      <w:r w:rsidRPr="006E1E70">
        <w:rPr>
          <w:rFonts w:cs="Arial"/>
          <w:sz w:val="24"/>
          <w:szCs w:val="24"/>
        </w:rPr>
        <w:t>á</w:t>
      </w:r>
      <w:r w:rsidRPr="006E1E70">
        <w:rPr>
          <w:rFonts w:cs="Arial"/>
          <w:sz w:val="24"/>
          <w:szCs w:val="24"/>
          <w:lang w:val="es-ES_tradnl"/>
        </w:rPr>
        <w:t>n dirimidas en primera instancia por las empresas privadas (intermediarios de Internet), a quienes no corresponde decidir qu</w:t>
      </w:r>
      <w:r w:rsidRPr="006E1E70">
        <w:rPr>
          <w:rFonts w:cs="Arial"/>
          <w:sz w:val="24"/>
          <w:szCs w:val="24"/>
          <w:lang w:val="fr-FR"/>
        </w:rPr>
        <w:t xml:space="preserve">é </w:t>
      </w:r>
      <w:r w:rsidRPr="006E1E70">
        <w:rPr>
          <w:rFonts w:cs="Arial"/>
          <w:sz w:val="24"/>
          <w:szCs w:val="24"/>
          <w:lang w:val="es-ES_tradnl"/>
        </w:rPr>
        <w:t>debe y qu</w:t>
      </w:r>
      <w:r w:rsidRPr="006E1E70">
        <w:rPr>
          <w:rFonts w:cs="Arial"/>
          <w:sz w:val="24"/>
          <w:szCs w:val="24"/>
          <w:lang w:val="fr-FR"/>
        </w:rPr>
        <w:t xml:space="preserve">é </w:t>
      </w:r>
      <w:r w:rsidRPr="006E1E70">
        <w:rPr>
          <w:rFonts w:cs="Arial"/>
          <w:sz w:val="24"/>
          <w:szCs w:val="24"/>
          <w:lang w:val="es-ES_tradnl"/>
        </w:rPr>
        <w:t>no debe estar disponible en la red, y luego ser</w:t>
      </w:r>
      <w:r w:rsidRPr="006E1E70">
        <w:rPr>
          <w:rFonts w:cs="Arial"/>
          <w:sz w:val="24"/>
          <w:szCs w:val="24"/>
        </w:rPr>
        <w:t xml:space="preserve">á </w:t>
      </w:r>
      <w:r w:rsidRPr="006E1E70">
        <w:rPr>
          <w:rFonts w:cs="Arial"/>
          <w:sz w:val="24"/>
          <w:szCs w:val="24"/>
          <w:lang w:val="es-ES_tradnl"/>
        </w:rPr>
        <w:t>de cargo del solicitante acudir a los tribunales ordinarios de justicia, fórmula que hasta el momento ha demostrado ser sumamente inefectiva tanto en Chile como a nivel comparado</w:t>
      </w:r>
      <w:r w:rsidRPr="006E1E70">
        <w:rPr>
          <w:rFonts w:cs="Arial"/>
          <w:sz w:val="24"/>
          <w:szCs w:val="24"/>
        </w:rPr>
        <w:t xml:space="preserve">. </w:t>
      </w:r>
    </w:p>
    <w:p w14:paraId="54E77203" w14:textId="77777777" w:rsidR="0012064E" w:rsidRPr="006E1E70" w:rsidRDefault="0012064E">
      <w:pPr>
        <w:pStyle w:val="Body"/>
        <w:widowControl w:val="0"/>
        <w:spacing w:line="240" w:lineRule="auto"/>
        <w:jc w:val="both"/>
        <w:rPr>
          <w:rFonts w:cs="Arial"/>
          <w:sz w:val="24"/>
          <w:szCs w:val="24"/>
        </w:rPr>
      </w:pPr>
    </w:p>
    <w:p w14:paraId="54E77204" w14:textId="77777777" w:rsidR="0012064E" w:rsidRPr="006E1E70" w:rsidRDefault="00A31A5F">
      <w:pPr>
        <w:pStyle w:val="Body"/>
        <w:widowControl w:val="0"/>
        <w:numPr>
          <w:ilvl w:val="0"/>
          <w:numId w:val="2"/>
        </w:numPr>
        <w:spacing w:line="240" w:lineRule="auto"/>
        <w:jc w:val="both"/>
        <w:rPr>
          <w:rFonts w:cs="Arial"/>
          <w:sz w:val="24"/>
          <w:szCs w:val="24"/>
          <w:lang w:val="es-ES_tradnl"/>
        </w:rPr>
      </w:pPr>
      <w:r w:rsidRPr="006E1E70">
        <w:rPr>
          <w:rFonts w:cs="Arial"/>
          <w:sz w:val="24"/>
          <w:szCs w:val="24"/>
          <w:lang w:val="es-ES_tradnl"/>
        </w:rPr>
        <w:t xml:space="preserve">Por </w:t>
      </w:r>
      <w:r w:rsidRPr="006E1E70">
        <w:rPr>
          <w:rFonts w:cs="Arial"/>
          <w:sz w:val="24"/>
          <w:szCs w:val="24"/>
        </w:rPr>
        <w:t>ú</w:t>
      </w:r>
      <w:r w:rsidRPr="006E1E70">
        <w:rPr>
          <w:rFonts w:cs="Arial"/>
          <w:sz w:val="24"/>
          <w:szCs w:val="24"/>
          <w:lang w:val="es-ES_tradnl"/>
        </w:rPr>
        <w:t>ltimo, la presidenta de la Rep</w:t>
      </w:r>
      <w:r w:rsidRPr="006E1E70">
        <w:rPr>
          <w:rFonts w:cs="Arial"/>
          <w:sz w:val="24"/>
          <w:szCs w:val="24"/>
        </w:rPr>
        <w:t>ú</w:t>
      </w:r>
      <w:r w:rsidRPr="006E1E70">
        <w:rPr>
          <w:rFonts w:cs="Arial"/>
          <w:sz w:val="24"/>
          <w:szCs w:val="24"/>
          <w:lang w:val="es-ES_tradnl"/>
        </w:rPr>
        <w:t>blica, en su discurso del 21 de mayo del presente añ</w:t>
      </w:r>
      <w:r w:rsidRPr="006E1E70">
        <w:rPr>
          <w:rFonts w:cs="Arial"/>
          <w:sz w:val="24"/>
          <w:szCs w:val="24"/>
          <w:lang w:val="pt-PT"/>
        </w:rPr>
        <w:t>o anunci</w:t>
      </w:r>
      <w:r w:rsidRPr="006E1E70">
        <w:rPr>
          <w:rFonts w:cs="Arial"/>
          <w:sz w:val="24"/>
          <w:szCs w:val="24"/>
          <w:lang w:val="es-ES_tradnl"/>
        </w:rPr>
        <w:t>ó una profunda reforma al sistema nacional de protecció</w:t>
      </w:r>
      <w:r w:rsidRPr="006E1E70">
        <w:rPr>
          <w:rFonts w:cs="Arial"/>
          <w:sz w:val="24"/>
          <w:szCs w:val="24"/>
          <w:lang w:val="pt-PT"/>
        </w:rPr>
        <w:t xml:space="preserve">n de datos personales. Esta </w:t>
      </w:r>
      <w:r w:rsidRPr="006E1E70">
        <w:rPr>
          <w:rFonts w:cs="Arial"/>
          <w:sz w:val="24"/>
          <w:szCs w:val="24"/>
          <w:lang w:val="es-ES_tradnl"/>
        </w:rPr>
        <w:t>modificación no só</w:t>
      </w:r>
      <w:r w:rsidRPr="006E1E70">
        <w:rPr>
          <w:rFonts w:cs="Arial"/>
          <w:sz w:val="24"/>
          <w:szCs w:val="24"/>
          <w:lang w:val="pt-PT"/>
        </w:rPr>
        <w:t>lo reformar</w:t>
      </w:r>
      <w:r w:rsidRPr="006E1E70">
        <w:rPr>
          <w:rFonts w:cs="Arial"/>
          <w:sz w:val="24"/>
          <w:szCs w:val="24"/>
        </w:rPr>
        <w:t xml:space="preserve">á </w:t>
      </w:r>
      <w:r w:rsidRPr="006E1E70">
        <w:rPr>
          <w:rFonts w:cs="Arial"/>
          <w:sz w:val="24"/>
          <w:szCs w:val="24"/>
          <w:lang w:val="es-ES_tradnl"/>
        </w:rPr>
        <w:t>aspectos normativos de la actual legislación, sino tambi</w:t>
      </w:r>
      <w:r w:rsidRPr="006E1E70">
        <w:rPr>
          <w:rFonts w:cs="Arial"/>
          <w:sz w:val="24"/>
          <w:szCs w:val="24"/>
          <w:lang w:val="fr-FR"/>
        </w:rPr>
        <w:t>é</w:t>
      </w:r>
      <w:r w:rsidRPr="006E1E70">
        <w:rPr>
          <w:rFonts w:cs="Arial"/>
          <w:sz w:val="24"/>
          <w:szCs w:val="24"/>
          <w:lang w:val="es-ES_tradnl"/>
        </w:rPr>
        <w:t>n aspectos procesales y org</w:t>
      </w:r>
      <w:r w:rsidRPr="006E1E70">
        <w:rPr>
          <w:rFonts w:cs="Arial"/>
          <w:sz w:val="24"/>
          <w:szCs w:val="24"/>
        </w:rPr>
        <w:t>á</w:t>
      </w:r>
      <w:r w:rsidRPr="006E1E70">
        <w:rPr>
          <w:rFonts w:cs="Arial"/>
          <w:sz w:val="24"/>
          <w:szCs w:val="24"/>
          <w:lang w:val="es-ES_tradnl"/>
        </w:rPr>
        <w:t>nicos, como la implementación de una autoridad p</w:t>
      </w:r>
      <w:r w:rsidRPr="006E1E70">
        <w:rPr>
          <w:rFonts w:cs="Arial"/>
          <w:sz w:val="24"/>
          <w:szCs w:val="24"/>
        </w:rPr>
        <w:t>ú</w:t>
      </w:r>
      <w:r w:rsidRPr="006E1E70">
        <w:rPr>
          <w:rFonts w:cs="Arial"/>
          <w:sz w:val="24"/>
          <w:szCs w:val="24"/>
          <w:lang w:val="es-ES_tradnl"/>
        </w:rPr>
        <w:t>blica de control de datos personales. En ese sentido, resultar</w:t>
      </w:r>
      <w:r w:rsidRPr="006E1E70">
        <w:rPr>
          <w:rFonts w:cs="Arial"/>
          <w:sz w:val="24"/>
          <w:szCs w:val="24"/>
        </w:rPr>
        <w:t>ía má</w:t>
      </w:r>
      <w:r w:rsidRPr="006E1E70">
        <w:rPr>
          <w:rFonts w:cs="Arial"/>
          <w:sz w:val="24"/>
          <w:szCs w:val="24"/>
          <w:lang w:val="es-ES_tradnl"/>
        </w:rPr>
        <w:t xml:space="preserve">s coherente que la discusión respecto de la consagración de este </w:t>
      </w:r>
      <w:r w:rsidRPr="006E1E70">
        <w:rPr>
          <w:rFonts w:cs="Arial"/>
          <w:sz w:val="24"/>
          <w:szCs w:val="24"/>
        </w:rPr>
        <w:t>“</w:t>
      </w:r>
      <w:r w:rsidRPr="006E1E70">
        <w:rPr>
          <w:rFonts w:cs="Arial"/>
          <w:sz w:val="24"/>
          <w:szCs w:val="24"/>
          <w:lang w:val="es-ES_tradnl"/>
        </w:rPr>
        <w:t>derecho al olvido</w:t>
      </w:r>
      <w:r w:rsidRPr="006E1E70">
        <w:rPr>
          <w:rFonts w:cs="Arial"/>
          <w:sz w:val="24"/>
          <w:szCs w:val="24"/>
        </w:rPr>
        <w:t xml:space="preserve">” </w:t>
      </w:r>
      <w:r w:rsidRPr="006E1E70">
        <w:rPr>
          <w:rFonts w:cs="Arial"/>
          <w:sz w:val="24"/>
          <w:szCs w:val="24"/>
          <w:lang w:val="es-ES_tradnl"/>
        </w:rPr>
        <w:t>se diese al interior de ese proceso de modificación legal, a fin de que el proceso cumpla con criterios de coherencia normativa, procesal y org</w:t>
      </w:r>
      <w:r w:rsidRPr="006E1E70">
        <w:rPr>
          <w:rFonts w:cs="Arial"/>
          <w:sz w:val="24"/>
          <w:szCs w:val="24"/>
        </w:rPr>
        <w:t>á</w:t>
      </w:r>
      <w:r w:rsidRPr="006E1E70">
        <w:rPr>
          <w:rFonts w:cs="Arial"/>
          <w:sz w:val="24"/>
          <w:szCs w:val="24"/>
          <w:lang w:val="pt-PT"/>
        </w:rPr>
        <w:t>nica.</w:t>
      </w:r>
      <w:r w:rsidRPr="006E1E70">
        <w:rPr>
          <w:rFonts w:cs="Arial"/>
          <w:sz w:val="24"/>
          <w:szCs w:val="24"/>
        </w:rPr>
        <w:t xml:space="preserve">  </w:t>
      </w:r>
    </w:p>
    <w:sectPr w:rsidR="0012064E" w:rsidRPr="006E1E70" w:rsidSect="006E1E70">
      <w:headerReference w:type="default" r:id="rId11"/>
      <w:footerReference w:type="default" r:id="rId12"/>
      <w:pgSz w:w="12242" w:h="18722" w:code="14"/>
      <w:pgMar w:top="1417" w:right="1701" w:bottom="1417"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77207" w14:textId="77777777" w:rsidR="00A31A5F" w:rsidRDefault="00A31A5F">
      <w:r>
        <w:separator/>
      </w:r>
    </w:p>
  </w:endnote>
  <w:endnote w:type="continuationSeparator" w:id="0">
    <w:p w14:paraId="54E77208" w14:textId="77777777" w:rsidR="00A31A5F" w:rsidRDefault="00A3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7720A" w14:textId="77777777" w:rsidR="0012064E" w:rsidRDefault="0012064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77205" w14:textId="77777777" w:rsidR="00A31A5F" w:rsidRDefault="00A31A5F">
      <w:r>
        <w:separator/>
      </w:r>
    </w:p>
  </w:footnote>
  <w:footnote w:type="continuationSeparator" w:id="0">
    <w:p w14:paraId="54E77206" w14:textId="77777777" w:rsidR="00A31A5F" w:rsidRDefault="00A31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77209" w14:textId="77777777" w:rsidR="0012064E" w:rsidRDefault="0012064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51A0A"/>
    <w:multiLevelType w:val="hybridMultilevel"/>
    <w:tmpl w:val="529239C8"/>
    <w:numStyleLink w:val="ImportedStyle1"/>
  </w:abstractNum>
  <w:abstractNum w:abstractNumId="1" w15:restartNumberingAfterBreak="0">
    <w:nsid w:val="6D4127C0"/>
    <w:multiLevelType w:val="hybridMultilevel"/>
    <w:tmpl w:val="529239C8"/>
    <w:styleLink w:val="ImportedStyle1"/>
    <w:lvl w:ilvl="0" w:tplc="FB3E0174">
      <w:start w:val="1"/>
      <w:numFmt w:val="decimal"/>
      <w:lvlText w:val="%1."/>
      <w:lvlJc w:val="left"/>
      <w:pPr>
        <w:ind w:left="359"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96C5CAC">
      <w:start w:val="1"/>
      <w:numFmt w:val="lowerLetter"/>
      <w:lvlText w:val="%2."/>
      <w:lvlJc w:val="left"/>
      <w:pPr>
        <w:ind w:left="720"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A98B8D8">
      <w:start w:val="1"/>
      <w:numFmt w:val="lowerRoman"/>
      <w:lvlText w:val="%3."/>
      <w:lvlJc w:val="left"/>
      <w:pPr>
        <w:ind w:left="1440"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D224894">
      <w:start w:val="1"/>
      <w:numFmt w:val="decimal"/>
      <w:lvlText w:val="%4."/>
      <w:lvlJc w:val="left"/>
      <w:pPr>
        <w:ind w:left="2160"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DA5702">
      <w:start w:val="1"/>
      <w:numFmt w:val="lowerLetter"/>
      <w:lvlText w:val="%5."/>
      <w:lvlJc w:val="left"/>
      <w:pPr>
        <w:ind w:left="2880"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D9C58E2">
      <w:start w:val="1"/>
      <w:numFmt w:val="lowerRoman"/>
      <w:lvlText w:val="%6."/>
      <w:lvlJc w:val="left"/>
      <w:pPr>
        <w:ind w:left="3600"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4DCBEB0">
      <w:start w:val="1"/>
      <w:numFmt w:val="decimal"/>
      <w:lvlText w:val="%7."/>
      <w:lvlJc w:val="left"/>
      <w:pPr>
        <w:ind w:left="4320"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ADE3BDA">
      <w:start w:val="1"/>
      <w:numFmt w:val="lowerLetter"/>
      <w:lvlText w:val="%8."/>
      <w:lvlJc w:val="left"/>
      <w:pPr>
        <w:ind w:left="5040"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BC8F668">
      <w:start w:val="1"/>
      <w:numFmt w:val="lowerRoman"/>
      <w:lvlText w:val="%9."/>
      <w:lvlJc w:val="left"/>
      <w:pPr>
        <w:ind w:left="5760"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2064E"/>
    <w:rsid w:val="0012064E"/>
    <w:rsid w:val="006E1E70"/>
    <w:rsid w:val="00A31A5F"/>
    <w:rsid w:val="00AF0627"/>
    <w:rsid w:val="00B908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71F0"/>
  <w15:docId w15:val="{1B3101FE-97D6-44AA-ACA0-65C43D96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line="276" w:lineRule="auto"/>
    </w:pPr>
    <w:rPr>
      <w:rFonts w:ascii="Arial" w:hAnsi="Arial" w:cs="Arial Unicode MS"/>
      <w:color w:val="000000"/>
      <w:sz w:val="22"/>
      <w:szCs w:val="22"/>
      <w:u w:color="000000"/>
    </w:rPr>
  </w:style>
  <w:style w:type="numbering" w:customStyle="1" w:styleId="ImportedStyle1">
    <w:name w:val="Imported Style 1"/>
    <w:pPr>
      <w:numPr>
        <w:numId w:val="1"/>
      </w:numPr>
    </w:pPr>
  </w:style>
  <w:style w:type="paragraph" w:styleId="Textodeglobo">
    <w:name w:val="Balloon Text"/>
    <w:basedOn w:val="Normal"/>
    <w:link w:val="TextodegloboCar"/>
    <w:uiPriority w:val="99"/>
    <w:semiHidden/>
    <w:unhideWhenUsed/>
    <w:rsid w:val="00AF0627"/>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62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7B343-7F47-4374-A7D3-83AAED9369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DD975B2-76AF-408D-9610-CB382AEA7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0E9DE5-8CBB-42BC-B940-CE8F75ACADA0}">
  <ds:schemaRefs>
    <ds:schemaRef ds:uri="http://schemas.microsoft.com/sharepoint/v3/contenttype/forms"/>
  </ds:schemaRefs>
</ds:datastoreItem>
</file>

<file path=customXml/itemProps4.xml><?xml version="1.0" encoding="utf-8"?>
<ds:datastoreItem xmlns:ds="http://schemas.openxmlformats.org/officeDocument/2006/customXml" ds:itemID="{3B755C2B-7DD7-4B79-A6FC-3DFA3744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Teresa Garrido Bravo</cp:lastModifiedBy>
  <cp:revision>4</cp:revision>
  <cp:lastPrinted>2016-11-09T14:34:00Z</cp:lastPrinted>
  <dcterms:created xsi:type="dcterms:W3CDTF">2016-11-03T22:17:00Z</dcterms:created>
  <dcterms:modified xsi:type="dcterms:W3CDTF">2016-11-09T14:34:00Z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