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A59" w:rsidRDefault="00E46D93">
      <w:pPr>
        <w:pStyle w:val="Ttulo1"/>
        <w:spacing w:before="78" w:line="360" w:lineRule="auto"/>
        <w:ind w:right="117"/>
      </w:pPr>
      <w:r>
        <w:t xml:space="preserve">PROYECTO DE LEY QUE MODIFICA LA LEY N° 18.056 QUE ESTABLECE NORMAS GENERALES SOBRE OTORGAMIENTO DE PENSIONES DE GRACIA POR EL </w:t>
      </w:r>
      <w:r>
        <w:rPr>
          <w:spacing w:val="-2"/>
        </w:rPr>
        <w:t>PRESIDENTE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 REPÚBLICA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FIN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ESTABLECER</w:t>
      </w:r>
      <w:r>
        <w:rPr>
          <w:spacing w:val="-8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 xml:space="preserve">RESTRICCIÓN </w:t>
      </w:r>
      <w:r>
        <w:t>PARA EL OTORGAMIENTO DE ÉSTAS EN EL CASO QUE INDICA</w:t>
      </w: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spacing w:before="6"/>
        <w:rPr>
          <w:b/>
          <w:sz w:val="34"/>
        </w:rPr>
      </w:pPr>
    </w:p>
    <w:p w:rsidR="00B37A59" w:rsidRDefault="00E46D93">
      <w:pPr>
        <w:ind w:left="102"/>
        <w:rPr>
          <w:b/>
        </w:rPr>
      </w:pPr>
      <w:r>
        <w:rPr>
          <w:b/>
          <w:spacing w:val="-2"/>
        </w:rPr>
        <w:t>ANTECEDENTES:</w:t>
      </w: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spacing w:before="8"/>
        <w:rPr>
          <w:b/>
          <w:sz w:val="19"/>
        </w:rPr>
      </w:pPr>
    </w:p>
    <w:p w:rsidR="00B37A59" w:rsidRDefault="00E46D93">
      <w:pPr>
        <w:pStyle w:val="Textoindependiente"/>
        <w:spacing w:line="360" w:lineRule="auto"/>
        <w:ind w:left="102" w:right="116" w:firstLine="707"/>
        <w:jc w:val="both"/>
      </w:pPr>
      <w:r>
        <w:t>Las</w:t>
      </w:r>
      <w:r>
        <w:rPr>
          <w:spacing w:val="-11"/>
        </w:rPr>
        <w:t xml:space="preserve"> </w:t>
      </w:r>
      <w:r>
        <w:t>pensiones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gracia</w:t>
      </w:r>
      <w:r>
        <w:rPr>
          <w:spacing w:val="-9"/>
        </w:rPr>
        <w:t xml:space="preserve"> </w:t>
      </w:r>
      <w:r>
        <w:t>otorgadas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presuntamente</w:t>
      </w:r>
      <w:r>
        <w:rPr>
          <w:spacing w:val="-13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víctimas</w:t>
      </w:r>
      <w:r>
        <w:rPr>
          <w:spacing w:val="-14"/>
        </w:rPr>
        <w:t xml:space="preserve"> </w:t>
      </w:r>
      <w:r>
        <w:t>de abusos</w:t>
      </w:r>
      <w:r>
        <w:rPr>
          <w:spacing w:val="-9"/>
        </w:rPr>
        <w:t xml:space="preserve"> </w:t>
      </w:r>
      <w:r>
        <w:t>policiales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acontecimientos</w:t>
      </w:r>
      <w:r>
        <w:rPr>
          <w:spacing w:val="-9"/>
        </w:rPr>
        <w:t xml:space="preserve"> </w:t>
      </w:r>
      <w:r>
        <w:t>acaecidos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posterioridad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octubre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2019 han generado impacto debido a la importante cantidad de ellos que, a su vez, tenían condenas penales. Esto ha sido objeto de controversia y críticas debido a la percepción de injusticia que ésta situación genera.</w:t>
      </w:r>
    </w:p>
    <w:p w:rsidR="00B37A59" w:rsidRDefault="00E46D93">
      <w:pPr>
        <w:pStyle w:val="Textoindependiente"/>
        <w:spacing w:before="160" w:line="360" w:lineRule="auto"/>
        <w:ind w:left="102" w:right="114" w:firstLine="707"/>
        <w:jc w:val="both"/>
      </w:pPr>
      <w:r>
        <w:t>La población ha expresado un creciente</w:t>
      </w:r>
      <w:r>
        <w:t xml:space="preserve"> descontento y preocupación sobre la concesión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pensiones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gracia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individuos</w:t>
      </w:r>
      <w:r>
        <w:rPr>
          <w:spacing w:val="-12"/>
        </w:rPr>
        <w:t xml:space="preserve"> </w:t>
      </w:r>
      <w:r>
        <w:t>condenados</w:t>
      </w:r>
      <w:r>
        <w:rPr>
          <w:spacing w:val="-10"/>
        </w:rPr>
        <w:t xml:space="preserve"> </w:t>
      </w:r>
      <w:r>
        <w:t>penalmente.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descontento</w:t>
      </w:r>
      <w:r>
        <w:rPr>
          <w:spacing w:val="-12"/>
        </w:rPr>
        <w:t xml:space="preserve"> </w:t>
      </w:r>
      <w:r>
        <w:t>se deriva de la percepción de que esta práctica contradice los principios fundamentales de justicia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equidad.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concesión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pensio</w:t>
      </w:r>
      <w:r>
        <w:t>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gracia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condenadas</w:t>
      </w:r>
      <w:r>
        <w:rPr>
          <w:spacing w:val="-3"/>
        </w:rPr>
        <w:t xml:space="preserve"> </w:t>
      </w:r>
      <w:r>
        <w:t>penalmente puede tener un impacto negativo en relación al comportamiento ciudadano deseable. Ésta práctica envía un mensaje incorrecto a la sociedad al premiar a aquellos que han cometido delitos en lugar de enfocarse en</w:t>
      </w:r>
      <w:r>
        <w:t xml:space="preserve"> la rehabilitación y la justicia.</w:t>
      </w:r>
    </w:p>
    <w:p w:rsidR="00B37A59" w:rsidRDefault="00E46D93">
      <w:pPr>
        <w:pStyle w:val="Textoindependiente"/>
        <w:spacing w:before="159" w:line="360" w:lineRule="auto"/>
        <w:ind w:left="102" w:right="115" w:firstLine="707"/>
        <w:jc w:val="both"/>
      </w:pPr>
      <w:r>
        <w:t>Por otro lado, inevitablemente esto se entiende como un abuso del sistema de pensiones de gracia, donde personas han obtenido beneficios económicos a pesar de haber sido</w:t>
      </w:r>
      <w:r>
        <w:rPr>
          <w:spacing w:val="-5"/>
        </w:rPr>
        <w:t xml:space="preserve"> </w:t>
      </w:r>
      <w:r>
        <w:t>condenadas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graves.</w:t>
      </w:r>
      <w:r>
        <w:rPr>
          <w:spacing w:val="-5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socava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confianza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 la integridad del sistema que otorga dichas pensiones. Esto se agudiza si se considera que la concesión de pensiones de gracia representa una carga financiera para el Estado, con recursos</w:t>
      </w:r>
      <w:r>
        <w:rPr>
          <w:spacing w:val="-14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aportados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trabajadores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país,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directo beneficio de personas que no se atienen a las</w:t>
      </w:r>
      <w:r>
        <w:rPr>
          <w:spacing w:val="-1"/>
        </w:rPr>
        <w:t xml:space="preserve"> </w:t>
      </w:r>
      <w:r>
        <w:t>normas legales</w:t>
      </w:r>
      <w:r>
        <w:rPr>
          <w:spacing w:val="-1"/>
        </w:rPr>
        <w:t xml:space="preserve"> </w:t>
      </w:r>
      <w:r>
        <w:t>que rigen la</w:t>
      </w:r>
      <w:r>
        <w:rPr>
          <w:spacing w:val="-1"/>
        </w:rPr>
        <w:t xml:space="preserve"> </w:t>
      </w:r>
      <w:r>
        <w:t>sociedad, atentan contra el Estado de Derecho y, en definitiva, ha demostrado un comportamiento que es contrario</w:t>
      </w:r>
      <w:r>
        <w:rPr>
          <w:spacing w:val="19"/>
        </w:rPr>
        <w:t xml:space="preserve"> </w:t>
      </w:r>
      <w:r>
        <w:t>a</w:t>
      </w:r>
      <w:r>
        <w:t>l</w:t>
      </w:r>
      <w:r>
        <w:rPr>
          <w:spacing w:val="22"/>
        </w:rPr>
        <w:t xml:space="preserve"> </w:t>
      </w:r>
      <w:r>
        <w:t>orden</w:t>
      </w:r>
      <w:r>
        <w:rPr>
          <w:spacing w:val="21"/>
        </w:rPr>
        <w:t xml:space="preserve"> </w:t>
      </w:r>
      <w:r>
        <w:t>social.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momento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recursos</w:t>
      </w:r>
      <w:r>
        <w:rPr>
          <w:spacing w:val="25"/>
        </w:rPr>
        <w:t xml:space="preserve"> </w:t>
      </w:r>
      <w:r>
        <w:t>públicos</w:t>
      </w:r>
      <w:r>
        <w:rPr>
          <w:spacing w:val="21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t>limitados,</w:t>
      </w:r>
      <w:r>
        <w:rPr>
          <w:spacing w:val="22"/>
        </w:rPr>
        <w:t xml:space="preserve"> </w:t>
      </w:r>
      <w:r>
        <w:rPr>
          <w:spacing w:val="-5"/>
        </w:rPr>
        <w:t>es</w:t>
      </w:r>
    </w:p>
    <w:p w:rsidR="00B37A59" w:rsidRDefault="00B37A59">
      <w:pPr>
        <w:spacing w:line="360" w:lineRule="auto"/>
        <w:jc w:val="both"/>
        <w:sectPr w:rsidR="00B37A59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B37A59" w:rsidRDefault="00E46D93">
      <w:pPr>
        <w:pStyle w:val="Textoindependiente"/>
        <w:spacing w:before="76" w:line="360" w:lineRule="auto"/>
        <w:ind w:left="102" w:right="122"/>
        <w:jc w:val="both"/>
      </w:pPr>
      <w:r>
        <w:lastRenderedPageBreak/>
        <w:t>crucial garantizar que estos se utilicen de manera justa y eficiente en beneficio de la comunidad en su conjunto.</w:t>
      </w:r>
    </w:p>
    <w:p w:rsidR="00B37A59" w:rsidRDefault="00B37A59">
      <w:pPr>
        <w:pStyle w:val="Textoindependiente"/>
        <w:rPr>
          <w:sz w:val="26"/>
        </w:rPr>
      </w:pPr>
    </w:p>
    <w:p w:rsidR="00B37A59" w:rsidRDefault="00B37A59">
      <w:pPr>
        <w:pStyle w:val="Textoindependiente"/>
        <w:spacing w:before="9"/>
        <w:rPr>
          <w:sz w:val="32"/>
        </w:rPr>
      </w:pPr>
    </w:p>
    <w:p w:rsidR="00B37A59" w:rsidRDefault="00E46D93">
      <w:pPr>
        <w:pStyle w:val="Ttulo1"/>
      </w:pPr>
      <w:r>
        <w:t>OBJETIVO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PROYECTO:</w:t>
      </w: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spacing w:before="7"/>
        <w:rPr>
          <w:b/>
          <w:sz w:val="19"/>
        </w:rPr>
      </w:pPr>
    </w:p>
    <w:p w:rsidR="00B37A59" w:rsidRDefault="00E46D93">
      <w:pPr>
        <w:pStyle w:val="Textoindependiente"/>
        <w:spacing w:line="360" w:lineRule="auto"/>
        <w:ind w:left="102" w:right="120"/>
        <w:jc w:val="both"/>
      </w:pPr>
      <w:r>
        <w:t>El objetivo del proyecto de ley es establecer una regulación que prohíba otorgar pensiones de gracia a individuos que hayan sido condenados penalmente.</w:t>
      </w:r>
    </w:p>
    <w:p w:rsidR="00B37A59" w:rsidRDefault="00B37A59">
      <w:pPr>
        <w:pStyle w:val="Textoindependiente"/>
        <w:rPr>
          <w:sz w:val="26"/>
        </w:rPr>
      </w:pPr>
    </w:p>
    <w:p w:rsidR="00B37A59" w:rsidRDefault="00B37A59">
      <w:pPr>
        <w:pStyle w:val="Textoindependiente"/>
        <w:spacing w:before="10"/>
        <w:rPr>
          <w:sz w:val="32"/>
        </w:rPr>
      </w:pPr>
    </w:p>
    <w:p w:rsidR="00B37A59" w:rsidRDefault="00E46D93">
      <w:pPr>
        <w:pStyle w:val="Ttulo1"/>
        <w:ind w:left="3469" w:right="3484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rPr>
          <w:b/>
          <w:sz w:val="26"/>
        </w:rPr>
      </w:pPr>
    </w:p>
    <w:p w:rsidR="00B37A59" w:rsidRDefault="00B37A59">
      <w:pPr>
        <w:pStyle w:val="Textoindependiente"/>
        <w:spacing w:before="7"/>
        <w:rPr>
          <w:b/>
          <w:sz w:val="19"/>
        </w:rPr>
      </w:pPr>
    </w:p>
    <w:p w:rsidR="00B37A59" w:rsidRDefault="00E46D93">
      <w:pPr>
        <w:pStyle w:val="Textoindependiente"/>
        <w:spacing w:line="360" w:lineRule="auto"/>
        <w:ind w:left="102" w:right="119"/>
        <w:jc w:val="both"/>
      </w:pPr>
      <w:r>
        <w:t>Artículo</w:t>
      </w:r>
      <w:r>
        <w:rPr>
          <w:spacing w:val="-2"/>
        </w:rPr>
        <w:t xml:space="preserve"> </w:t>
      </w:r>
      <w:r>
        <w:t>único:</w:t>
      </w:r>
      <w:r>
        <w:rPr>
          <w:spacing w:val="-2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No18.056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 normas generales sobre otorgamiento de pensiones de gracia por el Presidente de la República, del siguiente tenor:</w:t>
      </w:r>
    </w:p>
    <w:p w:rsidR="00B37A59" w:rsidRDefault="00E46D93">
      <w:pPr>
        <w:spacing w:before="159" w:line="362" w:lineRule="auto"/>
        <w:ind w:left="810" w:right="123"/>
        <w:jc w:val="both"/>
        <w:rPr>
          <w:i/>
        </w:rPr>
      </w:pPr>
      <w:r>
        <w:rPr>
          <w:b/>
        </w:rPr>
        <w:t>“</w:t>
      </w:r>
      <w:r>
        <w:rPr>
          <w:i/>
        </w:rPr>
        <w:t>En ningún caso, el Presidente de la República podrá otorgar pensiones de gracia a quienes tengan condenas de carácter</w:t>
      </w:r>
      <w:r>
        <w:rPr>
          <w:i/>
        </w:rPr>
        <w:t xml:space="preserve"> penal.”.</w:t>
      </w:r>
    </w:p>
    <w:sectPr w:rsidR="00B37A59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A59"/>
    <w:rsid w:val="00B37A59"/>
    <w:rsid w:val="00E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738F-5769-4FC1-A24C-B5783684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garcia</dc:creator>
  <cp:lastModifiedBy>Guillermo Diaz Vallejos</cp:lastModifiedBy>
  <cp:revision>1</cp:revision>
  <dcterms:created xsi:type="dcterms:W3CDTF">2023-09-25T15:53:00Z</dcterms:created>
  <dcterms:modified xsi:type="dcterms:W3CDTF">2023-09-26T22:02:00Z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para Microsoft 365</vt:lpwstr>
  </property>
</Properties>
</file>